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302689196"/>
        <w:docPartObj>
          <w:docPartGallery w:val="Cover Pages"/>
          <w:docPartUnique/>
        </w:docPartObj>
      </w:sdtPr>
      <w:sdtEndPr>
        <w:rPr>
          <w:rFonts w:ascii="Times New Roman" w:eastAsia="Times New Roman" w:hAnsi="Times New Roman" w:cs="Times New Roman"/>
          <w:b/>
          <w:bCs/>
          <w:caps/>
          <w:szCs w:val="24"/>
          <w:lang w:eastAsia="en-GB"/>
        </w:rPr>
      </w:sdtEndPr>
      <w:sdtContent>
        <w:p w:rsidR="00E4254B" w:rsidRPr="002A7395" w:rsidRDefault="003832DA" w:rsidP="003832DA">
          <w:pPr>
            <w:jc w:val="right"/>
          </w:pPr>
          <w:r w:rsidRPr="002A7395">
            <w:rPr>
              <w:noProof/>
            </w:rPr>
            <w:drawing>
              <wp:inline distT="0" distB="0" distL="0" distR="0" wp14:anchorId="7006BE65" wp14:editId="4DC317A9">
                <wp:extent cx="1480663" cy="1867228"/>
                <wp:effectExtent l="0" t="0" r="5715" b="0"/>
                <wp:docPr id="6" name="Picture 6" descr="Live Better digital assets library | HSC Public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ve Better digital assets library | HSC Public Health Agenc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0127" cy="1916995"/>
                        </a:xfrm>
                        <a:prstGeom prst="rect">
                          <a:avLst/>
                        </a:prstGeom>
                        <a:noFill/>
                        <a:ln>
                          <a:noFill/>
                        </a:ln>
                      </pic:spPr>
                    </pic:pic>
                  </a:graphicData>
                </a:graphic>
              </wp:inline>
            </w:drawing>
          </w:r>
        </w:p>
        <w:p w:rsidR="00E4254B" w:rsidRPr="002A7395" w:rsidRDefault="00E4254B">
          <w:pPr>
            <w:spacing w:before="0" w:after="200"/>
            <w:rPr>
              <w:rFonts w:ascii="Times New Roman" w:eastAsia="Times New Roman" w:hAnsi="Times New Roman" w:cs="Times New Roman"/>
              <w:szCs w:val="24"/>
              <w:lang w:eastAsia="en-GB"/>
            </w:rPr>
          </w:pPr>
          <w:r w:rsidRPr="002A7395">
            <w:rPr>
              <w:noProof/>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83700</wp14:pctPosVOffset>
                        </wp:positionV>
                      </mc:Choice>
                      <mc:Fallback>
                        <wp:positionV relativeFrom="page">
                          <wp:posOffset>8949055</wp:posOffset>
                        </wp:positionV>
                      </mc:Fallback>
                    </mc:AlternateContent>
                    <wp:extent cx="5753100" cy="652780"/>
                    <wp:effectExtent l="0" t="0" r="10160" b="14605"/>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4254B" w:rsidRPr="00E4254B" w:rsidRDefault="00E4254B" w:rsidP="00E4254B">
                                <w:pPr>
                                  <w:spacing w:before="100" w:beforeAutospacing="1" w:after="100" w:afterAutospacing="1" w:line="240" w:lineRule="auto"/>
                                  <w:jc w:val="right"/>
                                  <w:rPr>
                                    <w:rFonts w:ascii="Times New Roman" w:eastAsia="Times New Roman" w:hAnsi="Times New Roman" w:cs="Times New Roman"/>
                                    <w:szCs w:val="24"/>
                                    <w:lang w:eastAsia="en-GB"/>
                                  </w:rPr>
                                </w:pPr>
                                <w:r w:rsidRPr="00E4254B">
                                  <w:rPr>
                                    <w:rFonts w:ascii="Times New Roman" w:eastAsia="Times New Roman" w:hAnsi="Times New Roman" w:cs="Times New Roman"/>
                                    <w:noProof/>
                                    <w:szCs w:val="24"/>
                                    <w:lang w:eastAsia="en-GB"/>
                                  </w:rPr>
                                  <w:drawing>
                                    <wp:inline distT="0" distB="0" distL="0" distR="0" wp14:anchorId="32F7E665" wp14:editId="3E9C5D3F">
                                      <wp:extent cx="1447165" cy="381635"/>
                                      <wp:effectExtent l="0" t="0" r="635" b="0"/>
                                      <wp:docPr id="8" name="Picture 8" descr="C:\Users\lcrom001\Desktop\PHA-logo-–-full-colour-JPEG-white-background (3)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crom001\Desktop\PHA-logo-–-full-colour-JPEG-white-background (3)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165" cy="381635"/>
                                              </a:xfrm>
                                              <a:prstGeom prst="rect">
                                                <a:avLst/>
                                              </a:prstGeom>
                                              <a:noFill/>
                                              <a:ln>
                                                <a:noFill/>
                                              </a:ln>
                                            </pic:spPr>
                                          </pic:pic>
                                        </a:graphicData>
                                      </a:graphic>
                                    </wp:inline>
                                  </w:drawing>
                                </w:r>
                              </w:p>
                              <w:p w:rsidR="00E4254B" w:rsidRDefault="00E4254B">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type id="_x0000_t202" coordsize="21600,21600" o:spt="202" path="m,l,21600r21600,l21600,xe">
                    <v:stroke joinstyle="miter"/>
                    <v:path gradientshapeok="t" o:connecttype="rect"/>
                  </v:shapetype>
                  <v:shape id="Text Box 112" o:spid="_x0000_s1026" type="#_x0000_t202" style="position:absolute;margin-left:0;margin-top:0;width:453pt;height:51.4pt;z-index:25166131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" filled="f" stroked="f" strokeweight=".5pt">
                    <v:textbox inset="0,0,0,0">
                      <w:txbxContent>
                        <w:p w:rsidR="00E4254B" w:rsidRPr="00E4254B" w:rsidRDefault="00E4254B" w:rsidP="00E4254B">
                          <w:pPr>
                            <w:spacing w:before="100" w:beforeAutospacing="1" w:after="100" w:afterAutospacing="1" w:line="240" w:lineRule="auto"/>
                            <w:jc w:val="right"/>
                            <w:rPr>
                              <w:rFonts w:ascii="Times New Roman" w:eastAsia="Times New Roman" w:hAnsi="Times New Roman" w:cs="Times New Roman"/>
                              <w:szCs w:val="24"/>
                              <w:lang w:eastAsia="en-GB"/>
                            </w:rPr>
                          </w:pPr>
                          <w:r w:rsidRPr="00E4254B">
                            <w:rPr>
                              <w:rFonts w:ascii="Times New Roman" w:eastAsia="Times New Roman" w:hAnsi="Times New Roman" w:cs="Times New Roman"/>
                              <w:noProof/>
                              <w:szCs w:val="24"/>
                              <w:lang w:eastAsia="en-GB"/>
                            </w:rPr>
                            <w:drawing>
                              <wp:inline distT="0" distB="0" distL="0" distR="0" wp14:anchorId="32F7E665" wp14:editId="3E9C5D3F">
                                <wp:extent cx="1447165" cy="381635"/>
                                <wp:effectExtent l="0" t="0" r="635" b="0"/>
                                <wp:docPr id="8" name="Picture 8" descr="C:\Users\lcrom001\Desktop\PHA-logo-–-full-colour-JPEG-white-background (3)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crom001\Desktop\PHA-logo-–-full-colour-JPEG-white-background (3) 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165" cy="381635"/>
                                        </a:xfrm>
                                        <a:prstGeom prst="rect">
                                          <a:avLst/>
                                        </a:prstGeom>
                                        <a:noFill/>
                                        <a:ln>
                                          <a:noFill/>
                                        </a:ln>
                                      </pic:spPr>
                                    </pic:pic>
                                  </a:graphicData>
                                </a:graphic>
                              </wp:inline>
                            </w:drawing>
                          </w:r>
                        </w:p>
                        <w:p w:rsidR="00E4254B" w:rsidRDefault="00E4254B">
                          <w:pPr>
                            <w:pStyle w:val="NoSpacing"/>
                            <w:jc w:val="right"/>
                            <w:rPr>
                              <w:caps/>
                              <w:color w:val="262626" w:themeColor="text1" w:themeTint="D9"/>
                              <w:sz w:val="20"/>
                              <w:szCs w:val="20"/>
                            </w:rPr>
                          </w:pPr>
                        </w:p>
                      </w:txbxContent>
                    </v:textbox>
                    <w10:wrap type="square" anchorx="page" anchory="page"/>
                  </v:shape>
                </w:pict>
              </mc:Fallback>
            </mc:AlternateContent>
          </w:r>
          <w:r w:rsidRPr="002A7395">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45500</wp14:pctPosVOffset>
                        </wp:positionV>
                      </mc:Choice>
                      <mc:Fallback>
                        <wp:positionV relativeFrom="page">
                          <wp:posOffset>4864735</wp:posOffset>
                        </wp:positionV>
                      </mc:Fallback>
                    </mc:AlternateContent>
                    <wp:extent cx="5753100" cy="525780"/>
                    <wp:effectExtent l="0" t="0" r="10160" b="6350"/>
                    <wp:wrapSquare wrapText="bothSides"/>
                    <wp:docPr id="113" name="Text Box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4254B" w:rsidRDefault="00A85AE5">
                                <w:pPr>
                                  <w:pStyle w:val="NoSpacing"/>
                                  <w:jc w:val="right"/>
                                  <w:rPr>
                                    <w:caps/>
                                    <w:color w:val="17365D" w:themeColor="text2" w:themeShade="BF"/>
                                    <w:sz w:val="52"/>
                                    <w:szCs w:val="52"/>
                                  </w:rPr>
                                </w:pPr>
                                <w:sdt>
                                  <w:sdtPr>
                                    <w:rPr>
                                      <w:caps/>
                                      <w:color w:val="17365D"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E4254B">
                                      <w:rPr>
                                        <w:caps/>
                                        <w:color w:val="17365D" w:themeColor="text2" w:themeShade="BF"/>
                                        <w:sz w:val="52"/>
                                        <w:szCs w:val="52"/>
                                      </w:rPr>
                                      <w:t>Live better: recommendations</w:t>
                                    </w:r>
                                  </w:sdtContent>
                                </w:sdt>
                              </w:p>
                              <w:sdt>
                                <w:sdtPr>
                                  <w:rPr>
                                    <w:smallCaps/>
                                    <w:color w:val="17365D" w:themeColor="text2" w:themeShade="BF"/>
                                    <w:sz w:val="36"/>
                                    <w:szCs w:val="36"/>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rsidR="00E4254B" w:rsidRPr="003832DA" w:rsidRDefault="00E4254B">
                                    <w:pPr>
                                      <w:pStyle w:val="NoSpacing"/>
                                      <w:jc w:val="right"/>
                                      <w:rPr>
                                        <w:smallCaps/>
                                        <w:color w:val="17365D" w:themeColor="text2" w:themeShade="BF"/>
                                        <w:sz w:val="36"/>
                                        <w:szCs w:val="36"/>
                                      </w:rPr>
                                    </w:pPr>
                                    <w:r w:rsidRPr="003832DA">
                                      <w:rPr>
                                        <w:smallCaps/>
                                        <w:color w:val="17365D" w:themeColor="text2" w:themeShade="BF"/>
                                        <w:sz w:val="36"/>
                                        <w:szCs w:val="36"/>
                                      </w:rPr>
                                      <w:t>october 2025</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id="Text Box 113" o:spid="_x0000_s1027" type="#_x0000_t202" style="position:absolute;margin-left:0;margin-top:0;width:453pt;height:41.4pt;z-index:251660288;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" filled="f" stroked="f" strokeweight=".5pt">
                    <v:textbox inset="0,0,0,0">
                      <w:txbxContent>
                        <w:p w:rsidR="00E4254B" w:rsidRDefault="000647A3">
                          <w:pPr>
                            <w:pStyle w:val="NoSpacing"/>
                            <w:jc w:val="right"/>
                            <w:rPr>
                              <w:caps/>
                              <w:color w:val="17365D" w:themeColor="text2" w:themeShade="BF"/>
                              <w:sz w:val="52"/>
                              <w:szCs w:val="52"/>
                            </w:rPr>
                          </w:pPr>
                          <w:sdt>
                            <w:sdtPr>
                              <w:rPr>
                                <w:caps/>
                                <w:color w:val="17365D"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E4254B">
                                <w:rPr>
                                  <w:caps/>
                                  <w:color w:val="17365D" w:themeColor="text2" w:themeShade="BF"/>
                                  <w:sz w:val="52"/>
                                  <w:szCs w:val="52"/>
                                </w:rPr>
                                <w:t>Live better: recommendations</w:t>
                              </w:r>
                            </w:sdtContent>
                          </w:sdt>
                        </w:p>
                        <w:sdt>
                          <w:sdtPr>
                            <w:rPr>
                              <w:smallCaps/>
                              <w:color w:val="17365D" w:themeColor="text2" w:themeShade="BF"/>
                              <w:sz w:val="36"/>
                              <w:szCs w:val="36"/>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rsidR="00E4254B" w:rsidRPr="003832DA" w:rsidRDefault="00E4254B">
                              <w:pPr>
                                <w:pStyle w:val="NoSpacing"/>
                                <w:jc w:val="right"/>
                                <w:rPr>
                                  <w:smallCaps/>
                                  <w:color w:val="17365D" w:themeColor="text2" w:themeShade="BF"/>
                                  <w:sz w:val="36"/>
                                  <w:szCs w:val="36"/>
                                </w:rPr>
                              </w:pPr>
                              <w:r w:rsidRPr="003832DA">
                                <w:rPr>
                                  <w:smallCaps/>
                                  <w:color w:val="17365D" w:themeColor="text2" w:themeShade="BF"/>
                                  <w:sz w:val="36"/>
                                  <w:szCs w:val="36"/>
                                </w:rPr>
                                <w:t>october 2025</w:t>
                              </w:r>
                            </w:p>
                          </w:sdtContent>
                        </w:sdt>
                      </w:txbxContent>
                    </v:textbox>
                    <w10:wrap type="square" anchorx="page" anchory="page"/>
                  </v:shape>
                </w:pict>
              </mc:Fallback>
            </mc:AlternateContent>
          </w:r>
          <w:r w:rsidRPr="002A7395">
            <w:rPr>
              <w:noProof/>
            </w:rPr>
            <mc:AlternateContent>
              <mc:Choice Requires="wpg">
                <w:drawing>
                  <wp:anchor distT="0" distB="0" distL="114300" distR="114300" simplePos="0" relativeHeight="251659264" behindDoc="0" locked="0" layoutInCell="1" allowOverlap="1">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chemeClr val="tx2"/>
                            </a:solidFill>
                          </wpg:grpSpPr>
                          <wps:wsp>
                            <wps:cNvPr id="115" name="Rectangle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762BCE7E"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" filled="f" stroked="f" strokeweight="2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" filled="f" stroked="f" strokeweight="2pt">
                      <o:lock v:ext="edit" aspectratio="t"/>
                    </v:rect>
                    <w10:wrap anchorx="page" anchory="page"/>
                  </v:group>
                </w:pict>
              </mc:Fallback>
            </mc:AlternateContent>
          </w:r>
          <w:r w:rsidRPr="002A7395">
            <w:rPr>
              <w:rFonts w:ascii="Times New Roman" w:eastAsia="Times New Roman" w:hAnsi="Times New Roman" w:cs="Times New Roman"/>
              <w:b/>
              <w:bCs/>
              <w:caps/>
              <w:szCs w:val="24"/>
              <w:lang w:eastAsia="en-GB"/>
            </w:rPr>
            <w:br w:type="page"/>
          </w:r>
        </w:p>
      </w:sdtContent>
    </w:sdt>
    <w:p w:rsidR="00962EDB" w:rsidRPr="002A7395" w:rsidRDefault="00962EDB" w:rsidP="00CC6F9E">
      <w:pPr>
        <w:pStyle w:val="Heading1"/>
        <w:spacing w:before="0" w:after="240" w:line="312" w:lineRule="auto"/>
        <w:rPr>
          <w:rFonts w:eastAsia="Times New Roman" w:cs="Arial"/>
        </w:rPr>
      </w:pPr>
      <w:r w:rsidRPr="002A7395">
        <w:rPr>
          <w:rFonts w:eastAsia="Times New Roman" w:cs="Arial"/>
        </w:rPr>
        <w:lastRenderedPageBreak/>
        <w:t>INTRODUCTION AND CONTEXT</w:t>
      </w:r>
      <w:r w:rsidRPr="002A7395">
        <w:rPr>
          <w:rFonts w:eastAsia="Times New Roman" w:cs="Arial"/>
          <w:b w:val="0"/>
          <w:bCs w:val="0"/>
          <w:noProof/>
          <w:color w:val="1F497D"/>
          <w:szCs w:val="24"/>
        </w:rPr>
        <w:fldChar w:fldCharType="begin"/>
      </w:r>
      <w:r w:rsidRPr="002A7395">
        <w:rPr>
          <w:rFonts w:eastAsia="Times New Roman" w:cs="Arial"/>
          <w:b w:val="0"/>
          <w:noProof/>
          <w:color w:val="1F497D"/>
          <w:szCs w:val="24"/>
        </w:rPr>
        <w:instrText xml:space="preserve"> TOC \o "1-2" \h \z \u </w:instrText>
      </w:r>
      <w:r w:rsidRPr="002A7395">
        <w:rPr>
          <w:rFonts w:eastAsia="Times New Roman" w:cs="Arial"/>
          <w:b w:val="0"/>
          <w:bCs w:val="0"/>
          <w:noProof/>
          <w:color w:val="1F497D"/>
          <w:szCs w:val="24"/>
        </w:rPr>
        <w:fldChar w:fldCharType="separate"/>
      </w:r>
    </w:p>
    <w:p w:rsidR="00962EDB" w:rsidRPr="002A7395" w:rsidRDefault="00962EDB" w:rsidP="00CC6F9E">
      <w:pPr>
        <w:spacing w:before="0" w:after="240" w:line="312" w:lineRule="auto"/>
        <w:jc w:val="both"/>
        <w:rPr>
          <w:rFonts w:eastAsia="Times New Roman" w:cs="Arial"/>
          <w:color w:val="000000" w:themeColor="text1"/>
          <w:szCs w:val="24"/>
        </w:rPr>
      </w:pPr>
      <w:r w:rsidRPr="002A7395">
        <w:rPr>
          <w:rFonts w:eastAsia="Times New Roman" w:cs="Arial"/>
          <w:color w:val="1F497D"/>
        </w:rPr>
        <w:fldChar w:fldCharType="end"/>
      </w:r>
      <w:r w:rsidRPr="002A7395">
        <w:rPr>
          <w:rFonts w:eastAsia="Times New Roman" w:cs="Arial"/>
          <w:color w:val="000000" w:themeColor="text1"/>
          <w:szCs w:val="24"/>
        </w:rPr>
        <w:t xml:space="preserve">The PHA led on the planning, delivery and evaluation of the ‘Live Better’ initiative launched by the Minister for </w:t>
      </w:r>
      <w:r w:rsidR="009828A9">
        <w:rPr>
          <w:rFonts w:eastAsia="Times New Roman" w:cs="Arial"/>
          <w:color w:val="000000" w:themeColor="text1"/>
          <w:szCs w:val="24"/>
        </w:rPr>
        <w:t>H</w:t>
      </w:r>
      <w:r w:rsidRPr="002A7395">
        <w:rPr>
          <w:rFonts w:eastAsia="Times New Roman" w:cs="Arial"/>
          <w:color w:val="000000" w:themeColor="text1"/>
          <w:szCs w:val="24"/>
        </w:rPr>
        <w:t xml:space="preserve">ealth in July 2024. The aim of the initiative was to address health inequalities by targeting specific health issues, through place-based partnerships involving Primary Care, Health and Social Care Trust and community-based partners. Live Better was used to test principles, concepts and approaches to tackling health inequalities in areas </w:t>
      </w:r>
      <w:r w:rsidR="00192155" w:rsidRPr="002A7395">
        <w:rPr>
          <w:rFonts w:eastAsia="Times New Roman" w:cs="Arial"/>
          <w:color w:val="000000" w:themeColor="text1"/>
          <w:szCs w:val="24"/>
        </w:rPr>
        <w:t>experiencing</w:t>
      </w:r>
      <w:r w:rsidRPr="002A7395">
        <w:rPr>
          <w:rFonts w:eastAsia="Times New Roman" w:cs="Arial"/>
          <w:color w:val="000000" w:themeColor="text1"/>
          <w:szCs w:val="24"/>
        </w:rPr>
        <w:t xml:space="preserve"> higher deprivation and communities with the </w:t>
      </w:r>
      <w:r w:rsidR="00501D7F" w:rsidRPr="002A7395">
        <w:rPr>
          <w:rFonts w:eastAsia="Times New Roman" w:cs="Arial"/>
          <w:color w:val="000000" w:themeColor="text1"/>
          <w:szCs w:val="24"/>
        </w:rPr>
        <w:t>poorest</w:t>
      </w:r>
      <w:r w:rsidRPr="002A7395">
        <w:rPr>
          <w:rFonts w:eastAsia="Times New Roman" w:cs="Arial"/>
          <w:color w:val="000000" w:themeColor="text1"/>
          <w:szCs w:val="24"/>
        </w:rPr>
        <w:t xml:space="preserve"> health outcomes.  </w:t>
      </w:r>
    </w:p>
    <w:p w:rsidR="00962EDB" w:rsidRPr="002A7395" w:rsidRDefault="00962EDB" w:rsidP="00CC6F9E">
      <w:pPr>
        <w:spacing w:before="0" w:after="240" w:line="312" w:lineRule="auto"/>
        <w:jc w:val="both"/>
        <w:rPr>
          <w:rFonts w:eastAsia="Times New Roman" w:cs="Arial"/>
          <w:color w:val="000000" w:themeColor="text1"/>
          <w:szCs w:val="24"/>
        </w:rPr>
      </w:pPr>
      <w:r w:rsidRPr="002A7395">
        <w:rPr>
          <w:rFonts w:eastAsia="Times New Roman" w:cs="Arial"/>
          <w:color w:val="000000" w:themeColor="text1"/>
          <w:szCs w:val="24"/>
        </w:rPr>
        <w:t xml:space="preserve">Planning groups developed and implemented a range of activities in two demonstration areas in Derry/Londonderry and Belfast between January and June 2025. The PHA also delivered a programme of overarching activities to complement the Live Better approach. </w:t>
      </w:r>
    </w:p>
    <w:p w:rsidR="00962EDB" w:rsidRPr="002A7395" w:rsidRDefault="00962EDB" w:rsidP="00CC6F9E">
      <w:pPr>
        <w:spacing w:before="0" w:after="240" w:line="312" w:lineRule="auto"/>
        <w:jc w:val="both"/>
        <w:rPr>
          <w:rFonts w:eastAsia="Times New Roman" w:cs="Arial"/>
          <w:color w:val="000000" w:themeColor="text1"/>
          <w:szCs w:val="24"/>
        </w:rPr>
      </w:pPr>
      <w:r w:rsidRPr="002A7395">
        <w:rPr>
          <w:rFonts w:eastAsia="Times New Roman" w:cs="Arial"/>
          <w:color w:val="000000" w:themeColor="text1"/>
          <w:szCs w:val="24"/>
        </w:rPr>
        <w:t>Data collection aligned to core outcome measures for each activity provided part of the basis of a three-strand evaluation carried out by PHA. The other two components were participant interviews carried out by an independent social and market research company, and findings from a questionnaire designed to evaluate participants’ experiences of partnership working. These three core strands were synthesised into an evaluation report.</w:t>
      </w:r>
    </w:p>
    <w:p w:rsidR="00962EDB" w:rsidRPr="002A7395" w:rsidRDefault="00962EDB" w:rsidP="00CC6F9E">
      <w:pPr>
        <w:spacing w:before="0" w:after="240" w:line="312" w:lineRule="auto"/>
        <w:jc w:val="both"/>
        <w:rPr>
          <w:rFonts w:eastAsia="Calibri" w:cs="Arial"/>
        </w:rPr>
      </w:pPr>
      <w:r w:rsidRPr="002A7395">
        <w:rPr>
          <w:rFonts w:eastAsia="Times New Roman" w:cs="Arial"/>
          <w:color w:val="000000" w:themeColor="text1"/>
          <w:szCs w:val="24"/>
        </w:rPr>
        <w:t>In September 2025, facilitated stakeholder feedback workshops were held to recognise work completed, share learning, and provide feedback to inform recommendations for any future plans to tackle health inequalities in Northern Ireland.</w:t>
      </w:r>
    </w:p>
    <w:p w:rsidR="00962EDB" w:rsidRPr="002A7395" w:rsidRDefault="00962EDB" w:rsidP="00192155">
      <w:pPr>
        <w:pStyle w:val="Heading1"/>
        <w:spacing w:before="0" w:line="312" w:lineRule="auto"/>
        <w:rPr>
          <w:rFonts w:eastAsia="Calibri" w:cs="Arial"/>
        </w:rPr>
      </w:pPr>
      <w:r w:rsidRPr="002A7395">
        <w:rPr>
          <w:rFonts w:eastAsia="Calibri" w:cs="Arial"/>
        </w:rPr>
        <w:t>METHODS</w:t>
      </w:r>
      <w:r w:rsidR="00FC32E0" w:rsidRPr="002A7395">
        <w:rPr>
          <w:rFonts w:eastAsia="Calibri" w:cs="Arial"/>
        </w:rPr>
        <w:t xml:space="preserve"> for development of recommendations</w:t>
      </w:r>
    </w:p>
    <w:p w:rsidR="00962EDB" w:rsidRPr="002A7395" w:rsidRDefault="00962EDB" w:rsidP="00A64C1E">
      <w:pPr>
        <w:spacing w:after="0" w:line="312" w:lineRule="auto"/>
        <w:jc w:val="both"/>
        <w:rPr>
          <w:rFonts w:eastAsia="Calibri" w:cs="Arial"/>
        </w:rPr>
      </w:pPr>
      <w:r w:rsidRPr="002A7395">
        <w:rPr>
          <w:rFonts w:eastAsia="Calibri" w:cs="Arial"/>
        </w:rPr>
        <w:t xml:space="preserve">From the evaluation report, several common themes were identified by all stakeholder groups. These were drafted into initial recommendations for discussion. The evaluation report was shared with stakeholders from the two demonstration areas. </w:t>
      </w:r>
    </w:p>
    <w:p w:rsidR="00192155" w:rsidRPr="002A7395" w:rsidRDefault="00192155" w:rsidP="00192155">
      <w:pPr>
        <w:spacing w:before="0" w:after="0" w:line="312" w:lineRule="auto"/>
        <w:jc w:val="both"/>
        <w:rPr>
          <w:rFonts w:cs="Arial"/>
        </w:rPr>
      </w:pPr>
    </w:p>
    <w:p w:rsidR="00962EDB" w:rsidRPr="002A7395" w:rsidRDefault="00962EDB" w:rsidP="00CC6F9E">
      <w:pPr>
        <w:spacing w:before="0" w:after="240" w:line="312" w:lineRule="auto"/>
        <w:jc w:val="both"/>
        <w:rPr>
          <w:rFonts w:eastAsia="Calibri" w:cs="Arial"/>
        </w:rPr>
      </w:pPr>
      <w:r w:rsidRPr="002A7395">
        <w:rPr>
          <w:rFonts w:eastAsia="Calibri" w:cs="Arial"/>
        </w:rPr>
        <w:t>These stakeholders were then invited to attend an online or face-to-face facilitated workshop in their locality during September 2025.</w:t>
      </w:r>
      <w:r w:rsidRPr="002A7395">
        <w:rPr>
          <w:rFonts w:cs="Arial"/>
        </w:rPr>
        <w:t xml:space="preserve"> Workshops were designed to sense-check learning from the draft evaluation, acknowledge the work completed, and provide a space to inform strategic recommendations. </w:t>
      </w:r>
      <w:r w:rsidRPr="002A7395">
        <w:rPr>
          <w:rFonts w:eastAsia="Calibri" w:cs="Arial"/>
        </w:rPr>
        <w:t>Qualitative feedback was gathered through four channels:</w:t>
      </w:r>
    </w:p>
    <w:p w:rsidR="00962EDB" w:rsidRPr="002A7395" w:rsidRDefault="00962EDB" w:rsidP="00CC6F9E">
      <w:pPr>
        <w:pStyle w:val="ListParagraph"/>
        <w:numPr>
          <w:ilvl w:val="0"/>
          <w:numId w:val="16"/>
        </w:numPr>
        <w:spacing w:before="0" w:after="0" w:line="312" w:lineRule="auto"/>
        <w:jc w:val="both"/>
        <w:rPr>
          <w:rFonts w:eastAsia="Calibri" w:cs="Arial"/>
          <w:b/>
        </w:rPr>
      </w:pPr>
      <w:r w:rsidRPr="002A7395">
        <w:rPr>
          <w:rFonts w:eastAsia="Calibri" w:cs="Arial"/>
          <w:b/>
        </w:rPr>
        <w:t>Responses to draft recommendations:</w:t>
      </w:r>
    </w:p>
    <w:p w:rsidR="00962EDB" w:rsidRPr="002A7395" w:rsidRDefault="00962EDB" w:rsidP="00CC6F9E">
      <w:pPr>
        <w:spacing w:before="0" w:after="240" w:line="312" w:lineRule="auto"/>
        <w:jc w:val="both"/>
        <w:rPr>
          <w:rFonts w:eastAsia="Calibri" w:cs="Arial"/>
        </w:rPr>
      </w:pPr>
      <w:r w:rsidRPr="002A7395">
        <w:rPr>
          <w:rFonts w:eastAsia="Calibri" w:cs="Arial"/>
        </w:rPr>
        <w:t xml:space="preserve">Feedback suggested that stakeholders were broadly content with the initial draft recommendations although some changes to terminology were suggested. </w:t>
      </w:r>
    </w:p>
    <w:p w:rsidR="00962EDB" w:rsidRPr="002A7395" w:rsidRDefault="00962EDB" w:rsidP="00CC6F9E">
      <w:pPr>
        <w:pStyle w:val="ListParagraph"/>
        <w:numPr>
          <w:ilvl w:val="0"/>
          <w:numId w:val="16"/>
        </w:numPr>
        <w:spacing w:before="0" w:after="0" w:line="312" w:lineRule="auto"/>
        <w:jc w:val="both"/>
        <w:rPr>
          <w:rFonts w:eastAsia="Calibri" w:cs="Arial"/>
        </w:rPr>
      </w:pPr>
      <w:r w:rsidRPr="002A7395">
        <w:rPr>
          <w:rFonts w:eastAsia="Calibri" w:cs="Arial"/>
          <w:b/>
        </w:rPr>
        <w:lastRenderedPageBreak/>
        <w:t>Open group discussion:</w:t>
      </w:r>
    </w:p>
    <w:p w:rsidR="00962EDB" w:rsidRPr="002A7395" w:rsidRDefault="00FC32E0" w:rsidP="00CC6F9E">
      <w:pPr>
        <w:spacing w:before="0" w:after="0" w:line="312" w:lineRule="auto"/>
        <w:jc w:val="both"/>
        <w:rPr>
          <w:rFonts w:eastAsia="Calibri" w:cs="Arial"/>
        </w:rPr>
      </w:pPr>
      <w:r w:rsidRPr="002A7395">
        <w:rPr>
          <w:rFonts w:eastAsia="Calibri" w:cs="Arial"/>
        </w:rPr>
        <w:t xml:space="preserve">Discussion was wide-ranging but </w:t>
      </w:r>
      <w:r w:rsidR="00501D7F" w:rsidRPr="002A7395">
        <w:rPr>
          <w:rFonts w:eastAsia="Calibri" w:cs="Arial"/>
        </w:rPr>
        <w:t>several</w:t>
      </w:r>
      <w:r w:rsidRPr="002A7395">
        <w:rPr>
          <w:rFonts w:eastAsia="Calibri" w:cs="Arial"/>
        </w:rPr>
        <w:t xml:space="preserve"> key points arose at all three workshops:</w:t>
      </w:r>
    </w:p>
    <w:p w:rsidR="00962EDB" w:rsidRPr="002A7395" w:rsidRDefault="00962EDB" w:rsidP="00CC6F9E">
      <w:pPr>
        <w:pStyle w:val="ListParagraph"/>
        <w:numPr>
          <w:ilvl w:val="0"/>
          <w:numId w:val="1"/>
        </w:numPr>
        <w:spacing w:before="0" w:after="0" w:line="312" w:lineRule="auto"/>
        <w:ind w:left="360"/>
        <w:jc w:val="both"/>
        <w:rPr>
          <w:rFonts w:eastAsia="Calibri" w:cs="Arial"/>
        </w:rPr>
      </w:pPr>
      <w:r w:rsidRPr="002A7395">
        <w:rPr>
          <w:rFonts w:eastAsia="Calibri" w:cs="Arial"/>
        </w:rPr>
        <w:t xml:space="preserve">The positive value of engagement with other partners through a place-based approach, enabling synergy between services and increasing confidence. </w:t>
      </w:r>
    </w:p>
    <w:p w:rsidR="00962EDB" w:rsidRPr="002A7395" w:rsidRDefault="00962EDB" w:rsidP="00CC6F9E">
      <w:pPr>
        <w:pStyle w:val="ListParagraph"/>
        <w:numPr>
          <w:ilvl w:val="0"/>
          <w:numId w:val="1"/>
        </w:numPr>
        <w:spacing w:line="312" w:lineRule="auto"/>
        <w:ind w:left="360"/>
        <w:jc w:val="both"/>
        <w:rPr>
          <w:rFonts w:eastAsia="Calibri" w:cs="Arial"/>
        </w:rPr>
      </w:pPr>
      <w:r w:rsidRPr="002A7395">
        <w:rPr>
          <w:rFonts w:eastAsia="Calibri" w:cs="Arial"/>
        </w:rPr>
        <w:t xml:space="preserve">The focus on health inequalities was welcomed but it was felt that the approach could have been improved with more, and earlier, input from communities. </w:t>
      </w:r>
    </w:p>
    <w:p w:rsidR="00962EDB" w:rsidRPr="002A7395" w:rsidRDefault="00962EDB" w:rsidP="00CC6F9E">
      <w:pPr>
        <w:pStyle w:val="ListParagraph"/>
        <w:numPr>
          <w:ilvl w:val="0"/>
          <w:numId w:val="1"/>
        </w:numPr>
        <w:spacing w:line="312" w:lineRule="auto"/>
        <w:ind w:left="360"/>
        <w:jc w:val="both"/>
        <w:rPr>
          <w:rFonts w:eastAsia="Calibri" w:cs="Arial"/>
        </w:rPr>
      </w:pPr>
      <w:r w:rsidRPr="002A7395">
        <w:rPr>
          <w:rFonts w:eastAsia="Calibri" w:cs="Arial"/>
        </w:rPr>
        <w:t xml:space="preserve">Stakeholders felt that time pressure limited impact and effectiveness. </w:t>
      </w:r>
    </w:p>
    <w:p w:rsidR="00962EDB" w:rsidRPr="002A7395" w:rsidRDefault="00343DA5" w:rsidP="00CC6F9E">
      <w:pPr>
        <w:pStyle w:val="ListParagraph"/>
        <w:numPr>
          <w:ilvl w:val="0"/>
          <w:numId w:val="1"/>
        </w:numPr>
        <w:spacing w:line="312" w:lineRule="auto"/>
        <w:ind w:left="360"/>
        <w:jc w:val="both"/>
        <w:rPr>
          <w:rFonts w:eastAsia="Calibri" w:cs="Arial"/>
        </w:rPr>
      </w:pPr>
      <w:r w:rsidRPr="002A7395">
        <w:rPr>
          <w:rFonts w:eastAsia="Calibri" w:cs="Arial"/>
        </w:rPr>
        <w:t>Partners welcomed the</w:t>
      </w:r>
      <w:r w:rsidR="00962EDB" w:rsidRPr="002A7395">
        <w:rPr>
          <w:rFonts w:eastAsia="Calibri" w:cs="Arial"/>
        </w:rPr>
        <w:t xml:space="preserve"> evidence-based approach and access to data. </w:t>
      </w:r>
    </w:p>
    <w:p w:rsidR="00962EDB" w:rsidRPr="002A7395" w:rsidRDefault="00962EDB" w:rsidP="00CC6F9E">
      <w:pPr>
        <w:pStyle w:val="ListParagraph"/>
        <w:numPr>
          <w:ilvl w:val="0"/>
          <w:numId w:val="1"/>
        </w:numPr>
        <w:spacing w:line="312" w:lineRule="auto"/>
        <w:ind w:left="360"/>
        <w:jc w:val="both"/>
        <w:rPr>
          <w:rFonts w:eastAsia="Calibri" w:cs="Arial"/>
        </w:rPr>
      </w:pPr>
      <w:r w:rsidRPr="002A7395">
        <w:rPr>
          <w:rFonts w:eastAsia="Calibri" w:cs="Arial"/>
        </w:rPr>
        <w:t xml:space="preserve">Requirements to provide data were felt to be </w:t>
      </w:r>
      <w:r w:rsidR="003E3788" w:rsidRPr="002A7395">
        <w:rPr>
          <w:rFonts w:eastAsia="Calibri" w:cs="Arial"/>
        </w:rPr>
        <w:t xml:space="preserve">quite </w:t>
      </w:r>
      <w:r w:rsidRPr="002A7395">
        <w:rPr>
          <w:rFonts w:eastAsia="Calibri" w:cs="Arial"/>
        </w:rPr>
        <w:t xml:space="preserve">onerous in relation to the size, scale and potential impact of interventions. There was a </w:t>
      </w:r>
      <w:r w:rsidR="00343DA5" w:rsidRPr="002A7395">
        <w:rPr>
          <w:rFonts w:eastAsia="Calibri" w:cs="Arial"/>
        </w:rPr>
        <w:t xml:space="preserve">perceived </w:t>
      </w:r>
      <w:r w:rsidRPr="002A7395">
        <w:rPr>
          <w:rFonts w:eastAsia="Calibri" w:cs="Arial"/>
        </w:rPr>
        <w:t xml:space="preserve">weighting on numerical and activity data rather than participant experience. </w:t>
      </w:r>
    </w:p>
    <w:p w:rsidR="00FC32E0" w:rsidRPr="002A7395" w:rsidRDefault="00962EDB" w:rsidP="00CC6F9E">
      <w:pPr>
        <w:pStyle w:val="ListParagraph"/>
        <w:numPr>
          <w:ilvl w:val="0"/>
          <w:numId w:val="1"/>
        </w:numPr>
        <w:spacing w:after="0" w:line="312" w:lineRule="auto"/>
        <w:ind w:left="360"/>
        <w:jc w:val="both"/>
        <w:rPr>
          <w:rFonts w:eastAsia="Calibri" w:cs="Arial"/>
        </w:rPr>
      </w:pPr>
      <w:r w:rsidRPr="002A7395">
        <w:rPr>
          <w:rFonts w:eastAsia="Calibri" w:cs="Arial"/>
        </w:rPr>
        <w:t xml:space="preserve">People would have liked more clarity on next steps and where Live Better fitted with the direction of travel for addressing health inequalities. </w:t>
      </w:r>
    </w:p>
    <w:p w:rsidR="00FC32E0" w:rsidRPr="002A7395" w:rsidRDefault="00FC32E0" w:rsidP="00CC6F9E">
      <w:pPr>
        <w:pStyle w:val="ListParagraph"/>
        <w:spacing w:after="0" w:line="312" w:lineRule="auto"/>
        <w:ind w:left="360"/>
        <w:jc w:val="both"/>
        <w:rPr>
          <w:rFonts w:eastAsia="Calibri" w:cs="Arial"/>
        </w:rPr>
      </w:pPr>
    </w:p>
    <w:p w:rsidR="00962EDB" w:rsidRPr="002A7395" w:rsidRDefault="00962EDB" w:rsidP="00CC6F9E">
      <w:pPr>
        <w:pStyle w:val="ListParagraph"/>
        <w:numPr>
          <w:ilvl w:val="0"/>
          <w:numId w:val="16"/>
        </w:numPr>
        <w:spacing w:after="0" w:line="312" w:lineRule="auto"/>
        <w:jc w:val="both"/>
        <w:rPr>
          <w:rFonts w:eastAsia="Calibri" w:cs="Arial"/>
          <w:b/>
        </w:rPr>
      </w:pPr>
      <w:r w:rsidRPr="002A7395">
        <w:rPr>
          <w:rFonts w:eastAsia="Calibri" w:cs="Arial"/>
          <w:b/>
        </w:rPr>
        <w:t>Structured group questions:</w:t>
      </w:r>
    </w:p>
    <w:p w:rsidR="00962EDB" w:rsidRPr="002A7395" w:rsidRDefault="00962EDB" w:rsidP="00CC6F9E">
      <w:pPr>
        <w:spacing w:before="0" w:after="240" w:line="312" w:lineRule="auto"/>
        <w:jc w:val="both"/>
        <w:rPr>
          <w:rFonts w:eastAsia="Calibri" w:cs="Arial"/>
        </w:rPr>
      </w:pPr>
      <w:r w:rsidRPr="002A7395">
        <w:rPr>
          <w:rFonts w:eastAsia="Calibri" w:cs="Arial"/>
        </w:rPr>
        <w:t>Structured group questions were used to probe key issues</w:t>
      </w:r>
      <w:r w:rsidR="00FC32E0" w:rsidRPr="002A7395">
        <w:rPr>
          <w:rFonts w:eastAsia="Calibri" w:cs="Arial"/>
        </w:rPr>
        <w:t xml:space="preserve">. </w:t>
      </w:r>
      <w:r w:rsidR="00192155" w:rsidRPr="002A7395">
        <w:rPr>
          <w:rFonts w:eastAsia="Calibri" w:cs="Arial"/>
        </w:rPr>
        <w:t>Groups were</w:t>
      </w:r>
      <w:r w:rsidRPr="002A7395">
        <w:rPr>
          <w:rFonts w:eastAsia="Calibri" w:cs="Arial"/>
        </w:rPr>
        <w:t xml:space="preserve"> invited to share solutions and suggestions for future place-based initiatives based on their experience of participation in Live Better. </w:t>
      </w:r>
    </w:p>
    <w:p w:rsidR="00962EDB" w:rsidRPr="002A7395" w:rsidRDefault="00962EDB" w:rsidP="00CC6F9E">
      <w:pPr>
        <w:spacing w:before="0" w:after="0" w:line="312" w:lineRule="auto"/>
        <w:jc w:val="both"/>
        <w:rPr>
          <w:rFonts w:eastAsia="Calibri" w:cs="Arial"/>
        </w:rPr>
      </w:pPr>
      <w:r w:rsidRPr="002A7395">
        <w:rPr>
          <w:rFonts w:eastAsia="Calibri" w:cs="Arial"/>
        </w:rPr>
        <w:t>Group members were asked to discuss</w:t>
      </w:r>
      <w:r w:rsidR="00500D45" w:rsidRPr="002A7395">
        <w:rPr>
          <w:rFonts w:eastAsia="Calibri" w:cs="Arial"/>
        </w:rPr>
        <w:t>:</w:t>
      </w:r>
      <w:r w:rsidRPr="002A7395">
        <w:rPr>
          <w:rFonts w:eastAsia="Calibri" w:cs="Arial"/>
        </w:rPr>
        <w:t xml:space="preserve"> </w:t>
      </w:r>
    </w:p>
    <w:p w:rsidR="00962EDB" w:rsidRPr="002A7395" w:rsidRDefault="00962EDB" w:rsidP="00CC6F9E">
      <w:pPr>
        <w:pStyle w:val="ListParagraph"/>
        <w:numPr>
          <w:ilvl w:val="0"/>
          <w:numId w:val="30"/>
        </w:numPr>
        <w:spacing w:before="0" w:after="240" w:line="312" w:lineRule="auto"/>
        <w:jc w:val="both"/>
        <w:rPr>
          <w:rFonts w:eastAsia="Calibri" w:cs="Arial"/>
        </w:rPr>
      </w:pPr>
      <w:r w:rsidRPr="002A7395">
        <w:rPr>
          <w:rFonts w:eastAsia="Calibri" w:cs="Arial"/>
        </w:rPr>
        <w:t>barriers to engagement with Primary Care, Health and Social Care Trust, and Community and Voluntary Sector partners</w:t>
      </w:r>
    </w:p>
    <w:p w:rsidR="00962EDB" w:rsidRPr="002A7395" w:rsidRDefault="00962EDB" w:rsidP="00CC6F9E">
      <w:pPr>
        <w:pStyle w:val="ListParagraph"/>
        <w:numPr>
          <w:ilvl w:val="0"/>
          <w:numId w:val="30"/>
        </w:numPr>
        <w:spacing w:before="0" w:after="240" w:line="312" w:lineRule="auto"/>
        <w:jc w:val="both"/>
        <w:rPr>
          <w:rFonts w:eastAsia="Calibri" w:cs="Arial"/>
        </w:rPr>
      </w:pPr>
      <w:r w:rsidRPr="002A7395">
        <w:rPr>
          <w:rFonts w:eastAsia="Calibri" w:cs="Arial"/>
        </w:rPr>
        <w:t xml:space="preserve">how to develop stakeholder skills and capacity </w:t>
      </w:r>
    </w:p>
    <w:p w:rsidR="00962EDB" w:rsidRPr="002A7395" w:rsidRDefault="00962EDB" w:rsidP="00CC6F9E">
      <w:pPr>
        <w:pStyle w:val="ListParagraph"/>
        <w:numPr>
          <w:ilvl w:val="0"/>
          <w:numId w:val="30"/>
        </w:numPr>
        <w:spacing w:before="0" w:after="240" w:line="312" w:lineRule="auto"/>
        <w:jc w:val="both"/>
        <w:rPr>
          <w:rFonts w:eastAsia="Calibri" w:cs="Arial"/>
        </w:rPr>
      </w:pPr>
      <w:r w:rsidRPr="002A7395">
        <w:rPr>
          <w:rFonts w:eastAsia="Calibri" w:cs="Arial"/>
        </w:rPr>
        <w:t>how best to measure impact</w:t>
      </w:r>
    </w:p>
    <w:p w:rsidR="00962EDB" w:rsidRPr="002A7395" w:rsidRDefault="00962EDB" w:rsidP="00CC6F9E">
      <w:pPr>
        <w:pStyle w:val="ListParagraph"/>
        <w:numPr>
          <w:ilvl w:val="0"/>
          <w:numId w:val="30"/>
        </w:numPr>
        <w:spacing w:before="0" w:after="240" w:line="312" w:lineRule="auto"/>
        <w:jc w:val="both"/>
        <w:rPr>
          <w:rFonts w:eastAsia="Calibri" w:cs="Arial"/>
        </w:rPr>
      </w:pPr>
      <w:r w:rsidRPr="002A7395">
        <w:rPr>
          <w:rFonts w:eastAsia="Calibri" w:cs="Arial"/>
        </w:rPr>
        <w:t>any other suggestions to help inform planning for future place-based initiatives</w:t>
      </w:r>
    </w:p>
    <w:p w:rsidR="00962EDB" w:rsidRPr="002A7395" w:rsidRDefault="00962EDB" w:rsidP="00CC6F9E">
      <w:pPr>
        <w:pStyle w:val="ListParagraph"/>
        <w:spacing w:before="0" w:after="240" w:line="312" w:lineRule="auto"/>
        <w:jc w:val="both"/>
        <w:rPr>
          <w:rFonts w:eastAsia="Calibri" w:cs="Arial"/>
        </w:rPr>
      </w:pPr>
    </w:p>
    <w:p w:rsidR="00192155" w:rsidRPr="002A7395" w:rsidRDefault="00962EDB" w:rsidP="00CC6F9E">
      <w:pPr>
        <w:pStyle w:val="ListParagraph"/>
        <w:numPr>
          <w:ilvl w:val="0"/>
          <w:numId w:val="16"/>
        </w:numPr>
        <w:spacing w:before="0" w:after="0" w:line="312" w:lineRule="auto"/>
        <w:jc w:val="both"/>
        <w:rPr>
          <w:rFonts w:eastAsia="Calibri" w:cs="Arial"/>
        </w:rPr>
      </w:pPr>
      <w:r w:rsidRPr="002A7395">
        <w:rPr>
          <w:rFonts w:eastAsia="Calibri" w:cs="Arial"/>
          <w:b/>
        </w:rPr>
        <w:t xml:space="preserve">Online anonymous space for comments </w:t>
      </w:r>
    </w:p>
    <w:p w:rsidR="00962EDB" w:rsidRPr="002A7395" w:rsidRDefault="00962EDB" w:rsidP="00192155">
      <w:pPr>
        <w:spacing w:before="0" w:after="0" w:line="312" w:lineRule="auto"/>
        <w:jc w:val="both"/>
        <w:rPr>
          <w:rFonts w:eastAsia="Calibri" w:cs="Arial"/>
        </w:rPr>
      </w:pPr>
      <w:r w:rsidRPr="002A7395">
        <w:rPr>
          <w:rFonts w:eastAsia="Calibri" w:cs="Arial"/>
        </w:rPr>
        <w:t xml:space="preserve">A link to this resource was shared with all stakeholders. It remained open on the day of workshops and </w:t>
      </w:r>
      <w:r w:rsidR="00343DA5" w:rsidRPr="002A7395">
        <w:rPr>
          <w:rFonts w:eastAsia="Calibri" w:cs="Arial"/>
        </w:rPr>
        <w:t xml:space="preserve">afterwards </w:t>
      </w:r>
      <w:r w:rsidRPr="002A7395">
        <w:rPr>
          <w:rFonts w:eastAsia="Calibri" w:cs="Arial"/>
        </w:rPr>
        <w:t>until 28</w:t>
      </w:r>
      <w:r w:rsidRPr="002A7395">
        <w:rPr>
          <w:rFonts w:eastAsia="Calibri" w:cs="Arial"/>
          <w:vertAlign w:val="superscript"/>
        </w:rPr>
        <w:t>th</w:t>
      </w:r>
      <w:r w:rsidRPr="002A7395">
        <w:rPr>
          <w:rFonts w:eastAsia="Calibri" w:cs="Arial"/>
        </w:rPr>
        <w:t xml:space="preserve"> September 2025. No comments were received.</w:t>
      </w:r>
    </w:p>
    <w:p w:rsidR="00192155" w:rsidRPr="002A7395" w:rsidRDefault="00192155" w:rsidP="00192155">
      <w:pPr>
        <w:spacing w:before="0" w:after="0" w:line="312" w:lineRule="auto"/>
        <w:jc w:val="both"/>
        <w:rPr>
          <w:rFonts w:eastAsia="Calibri" w:cs="Arial"/>
        </w:rPr>
      </w:pPr>
    </w:p>
    <w:p w:rsidR="00962EDB" w:rsidRPr="002A7395" w:rsidRDefault="00962EDB" w:rsidP="00CC6F9E">
      <w:pPr>
        <w:spacing w:before="0" w:after="240" w:line="312" w:lineRule="auto"/>
        <w:jc w:val="both"/>
        <w:rPr>
          <w:rFonts w:eastAsia="Calibri" w:cs="Arial"/>
        </w:rPr>
      </w:pPr>
      <w:r w:rsidRPr="002A7395">
        <w:rPr>
          <w:rFonts w:eastAsia="Calibri" w:cs="Arial"/>
        </w:rPr>
        <w:t>This participatory approach ensured that diverse perspectives were captured, facilitating understanding of stakeholder views and helping to inform recommendations.</w:t>
      </w:r>
    </w:p>
    <w:p w:rsidR="00962EDB" w:rsidRPr="002A7395" w:rsidRDefault="00962EDB" w:rsidP="00CC6F9E">
      <w:pPr>
        <w:spacing w:before="0" w:after="240" w:line="312" w:lineRule="auto"/>
        <w:jc w:val="both"/>
        <w:rPr>
          <w:rFonts w:eastAsia="Calibri" w:cs="Arial"/>
        </w:rPr>
      </w:pPr>
      <w:bookmarkStart w:id="1" w:name="_Hlk191909350"/>
    </w:p>
    <w:p w:rsidR="00962EDB" w:rsidRPr="002A7395" w:rsidRDefault="00962EDB" w:rsidP="00CC6F9E">
      <w:pPr>
        <w:spacing w:before="0" w:after="200" w:line="312" w:lineRule="auto"/>
        <w:rPr>
          <w:rFonts w:eastAsia="Calibri" w:cs="Arial"/>
          <w:b/>
        </w:rPr>
      </w:pPr>
      <w:r w:rsidRPr="002A7395">
        <w:rPr>
          <w:rFonts w:eastAsia="Calibri" w:cs="Arial"/>
          <w:b/>
        </w:rPr>
        <w:br w:type="page"/>
      </w:r>
    </w:p>
    <w:p w:rsidR="00962EDB" w:rsidRPr="002A7395" w:rsidRDefault="00962EDB" w:rsidP="00CC6F9E">
      <w:pPr>
        <w:pStyle w:val="Heading1"/>
        <w:spacing w:line="312" w:lineRule="auto"/>
        <w:rPr>
          <w:rFonts w:eastAsia="Calibri" w:cs="Arial"/>
        </w:rPr>
      </w:pPr>
      <w:r w:rsidRPr="002A7395">
        <w:rPr>
          <w:rFonts w:eastAsia="Calibri" w:cs="Arial"/>
        </w:rPr>
        <w:lastRenderedPageBreak/>
        <w:t>RECOMMENDATIONS</w:t>
      </w:r>
    </w:p>
    <w:p w:rsidR="00962EDB" w:rsidRPr="002A7395" w:rsidRDefault="00962EDB" w:rsidP="00500D45">
      <w:pPr>
        <w:spacing w:after="240" w:line="312" w:lineRule="auto"/>
        <w:textAlignment w:val="center"/>
        <w:rPr>
          <w:rFonts w:eastAsia="Times New Roman" w:cs="Arial"/>
          <w:bCs/>
          <w:szCs w:val="24"/>
          <w:lang w:eastAsia="en-GB"/>
        </w:rPr>
      </w:pPr>
      <w:r w:rsidRPr="002A7395">
        <w:rPr>
          <w:rFonts w:eastAsia="Times New Roman" w:cs="Arial"/>
          <w:bCs/>
          <w:szCs w:val="24"/>
          <w:lang w:eastAsia="en-GB"/>
        </w:rPr>
        <w:t>Feedback from all stakeholder engagement</w:t>
      </w:r>
      <w:r w:rsidR="00192155" w:rsidRPr="002A7395">
        <w:rPr>
          <w:rFonts w:eastAsia="Times New Roman" w:cs="Arial"/>
          <w:bCs/>
          <w:szCs w:val="24"/>
          <w:lang w:eastAsia="en-GB"/>
        </w:rPr>
        <w:t>, incorporating the findings from the Live Better evaluation,</w:t>
      </w:r>
      <w:r w:rsidRPr="002A7395">
        <w:rPr>
          <w:rFonts w:eastAsia="Times New Roman" w:cs="Arial"/>
          <w:bCs/>
          <w:szCs w:val="24"/>
          <w:lang w:eastAsia="en-GB"/>
        </w:rPr>
        <w:t xml:space="preserve"> was </w:t>
      </w:r>
      <w:r w:rsidR="00192155" w:rsidRPr="002A7395">
        <w:rPr>
          <w:rFonts w:eastAsia="Times New Roman" w:cs="Arial"/>
          <w:bCs/>
          <w:szCs w:val="24"/>
          <w:lang w:eastAsia="en-GB"/>
        </w:rPr>
        <w:t>analysed</w:t>
      </w:r>
      <w:r w:rsidRPr="002A7395">
        <w:rPr>
          <w:rFonts w:eastAsia="Times New Roman" w:cs="Arial"/>
          <w:bCs/>
          <w:szCs w:val="24"/>
          <w:lang w:eastAsia="en-GB"/>
        </w:rPr>
        <w:t xml:space="preserve"> and collated into the following recommendations:</w:t>
      </w:r>
    </w:p>
    <w:tbl>
      <w:tblPr>
        <w:tblStyle w:val="Academytable"/>
        <w:tblW w:w="0" w:type="auto"/>
        <w:tblBorders>
          <w:bottom w:val="none" w:sz="0" w:space="0" w:color="auto"/>
        </w:tblBorders>
        <w:tblLook w:val="04A0" w:firstRow="1" w:lastRow="0" w:firstColumn="1" w:lastColumn="0" w:noHBand="0" w:noVBand="1"/>
      </w:tblPr>
      <w:tblGrid>
        <w:gridCol w:w="9026"/>
      </w:tblGrid>
      <w:tr w:rsidR="00C24CF5" w:rsidRPr="002A7395" w:rsidTr="00060951">
        <w:trPr>
          <w:cnfStyle w:val="100000000000" w:firstRow="1" w:lastRow="0" w:firstColumn="0" w:lastColumn="0" w:oddVBand="0" w:evenVBand="0" w:oddHBand="0" w:evenHBand="0" w:firstRowFirstColumn="0" w:firstRowLastColumn="0" w:lastRowFirstColumn="0" w:lastRowLastColumn="0"/>
          <w:trHeight w:val="850"/>
        </w:trPr>
        <w:tc>
          <w:tcPr>
            <w:tcW w:w="9026" w:type="dxa"/>
            <w:shd w:val="clear" w:color="auto" w:fill="365F91" w:themeFill="accent1" w:themeFillShade="BF"/>
          </w:tcPr>
          <w:p w:rsidR="00C24CF5" w:rsidRPr="002A7395" w:rsidRDefault="00A50075" w:rsidP="00500D45">
            <w:pPr>
              <w:spacing w:after="240" w:line="312" w:lineRule="auto"/>
              <w:textAlignment w:val="center"/>
              <w:rPr>
                <w:rFonts w:eastAsia="Times New Roman" w:cs="Arial"/>
                <w:b/>
                <w:bCs/>
                <w:szCs w:val="24"/>
                <w:lang w:eastAsia="en-GB"/>
              </w:rPr>
            </w:pPr>
            <w:r w:rsidRPr="002A7395">
              <w:rPr>
                <w:rFonts w:eastAsia="Times New Roman" w:cs="Arial"/>
                <w:b/>
                <w:bCs/>
                <w:szCs w:val="24"/>
                <w:lang w:eastAsia="en-GB"/>
              </w:rPr>
              <w:t xml:space="preserve">Recommendation </w:t>
            </w:r>
            <w:r w:rsidR="00E51587" w:rsidRPr="002A7395">
              <w:rPr>
                <w:rFonts w:eastAsia="Times New Roman" w:cs="Arial"/>
                <w:b/>
                <w:bCs/>
                <w:szCs w:val="24"/>
                <w:lang w:eastAsia="en-GB"/>
              </w:rPr>
              <w:t xml:space="preserve">1: </w:t>
            </w:r>
            <w:r w:rsidR="00C24CF5" w:rsidRPr="002A7395">
              <w:rPr>
                <w:rFonts w:eastAsia="Times New Roman" w:cs="Arial"/>
                <w:b/>
                <w:bCs/>
                <w:szCs w:val="24"/>
                <w:lang w:eastAsia="en-GB"/>
              </w:rPr>
              <w:t>Plans to address health inequalities must be evidence-based and targeted according to need.</w:t>
            </w:r>
          </w:p>
        </w:tc>
      </w:tr>
      <w:tr w:rsidR="00C24CF5" w:rsidRPr="002A7395" w:rsidTr="00060951">
        <w:trPr>
          <w:trHeight w:val="850"/>
        </w:trPr>
        <w:tc>
          <w:tcPr>
            <w:tcW w:w="9026" w:type="dxa"/>
          </w:tcPr>
          <w:p w:rsidR="00C24CF5" w:rsidRPr="002A7395" w:rsidRDefault="00C24CF5" w:rsidP="00724D5C">
            <w:pPr>
              <w:pStyle w:val="ListParagraph"/>
              <w:numPr>
                <w:ilvl w:val="0"/>
                <w:numId w:val="23"/>
              </w:numPr>
              <w:tabs>
                <w:tab w:val="num" w:pos="1800"/>
              </w:tabs>
              <w:spacing w:line="312" w:lineRule="auto"/>
              <w:textAlignment w:val="center"/>
              <w:rPr>
                <w:rFonts w:eastAsia="Times New Roman" w:cs="Arial"/>
                <w:color w:val="595959" w:themeColor="text1" w:themeTint="A6"/>
                <w:szCs w:val="24"/>
                <w:lang w:eastAsia="en-GB"/>
              </w:rPr>
            </w:pPr>
            <w:r w:rsidRPr="002A7395">
              <w:rPr>
                <w:rFonts w:eastAsia="Times New Roman" w:cs="Arial"/>
                <w:color w:val="595959" w:themeColor="text1" w:themeTint="A6"/>
                <w:szCs w:val="24"/>
                <w:lang w:eastAsia="en-GB"/>
              </w:rPr>
              <w:t>Evidence should include qualitative and quantitative data allowing a rounded assessment of health experiences in local communities.</w:t>
            </w:r>
          </w:p>
        </w:tc>
      </w:tr>
      <w:tr w:rsidR="00C24CF5" w:rsidRPr="002A7395" w:rsidTr="00060951">
        <w:trPr>
          <w:trHeight w:val="850"/>
        </w:trPr>
        <w:tc>
          <w:tcPr>
            <w:tcW w:w="9026" w:type="dxa"/>
          </w:tcPr>
          <w:p w:rsidR="00C24CF5" w:rsidRPr="002A7395" w:rsidRDefault="00C24CF5" w:rsidP="00724D5C">
            <w:pPr>
              <w:pStyle w:val="ListParagraph"/>
              <w:numPr>
                <w:ilvl w:val="0"/>
                <w:numId w:val="23"/>
              </w:numPr>
              <w:tabs>
                <w:tab w:val="num" w:pos="1800"/>
              </w:tabs>
              <w:spacing w:before="0" w:line="312" w:lineRule="auto"/>
              <w:textAlignment w:val="center"/>
              <w:rPr>
                <w:rFonts w:eastAsia="Times New Roman" w:cs="Arial"/>
                <w:color w:val="595959" w:themeColor="text1" w:themeTint="A6"/>
                <w:szCs w:val="24"/>
                <w:lang w:eastAsia="en-GB"/>
              </w:rPr>
            </w:pPr>
            <w:r w:rsidRPr="002A7395">
              <w:rPr>
                <w:rFonts w:eastAsia="Times New Roman" w:cs="Arial"/>
                <w:color w:val="595959" w:themeColor="text1" w:themeTint="A6"/>
                <w:szCs w:val="24"/>
                <w:lang w:eastAsia="en-GB"/>
              </w:rPr>
              <w:t>Data should include service user and carer experience, availability of resources and capacity as well as illness prevalence and service activity.</w:t>
            </w:r>
          </w:p>
        </w:tc>
      </w:tr>
      <w:tr w:rsidR="00C24CF5" w:rsidRPr="002A7395" w:rsidTr="00060951">
        <w:trPr>
          <w:trHeight w:val="850"/>
        </w:trPr>
        <w:tc>
          <w:tcPr>
            <w:tcW w:w="9026" w:type="dxa"/>
          </w:tcPr>
          <w:p w:rsidR="00C24CF5" w:rsidRPr="002A7395" w:rsidRDefault="00C24CF5" w:rsidP="00724D5C">
            <w:pPr>
              <w:pStyle w:val="ListParagraph"/>
              <w:numPr>
                <w:ilvl w:val="0"/>
                <w:numId w:val="23"/>
              </w:numPr>
              <w:tabs>
                <w:tab w:val="num" w:pos="1800"/>
              </w:tabs>
              <w:spacing w:before="0" w:after="0" w:line="312" w:lineRule="auto"/>
              <w:textAlignment w:val="center"/>
              <w:rPr>
                <w:rFonts w:eastAsia="Times New Roman" w:cs="Arial"/>
                <w:color w:val="595959" w:themeColor="text1" w:themeTint="A6"/>
                <w:szCs w:val="24"/>
                <w:lang w:eastAsia="en-GB"/>
              </w:rPr>
            </w:pPr>
            <w:r w:rsidRPr="002A7395">
              <w:rPr>
                <w:rFonts w:eastAsia="Times New Roman" w:cs="Arial"/>
                <w:color w:val="595959" w:themeColor="text1" w:themeTint="A6"/>
                <w:szCs w:val="24"/>
                <w:lang w:eastAsia="en-GB"/>
              </w:rPr>
              <w:t>Sufficient time must be given for stakeholders to review evidence and develop intervention plans based on local context, gaps and needs.</w:t>
            </w:r>
          </w:p>
        </w:tc>
      </w:tr>
      <w:tr w:rsidR="00060951" w:rsidRPr="002A7395" w:rsidTr="00060951">
        <w:trPr>
          <w:trHeight w:val="514"/>
        </w:trPr>
        <w:tc>
          <w:tcPr>
            <w:tcW w:w="9026" w:type="dxa"/>
          </w:tcPr>
          <w:p w:rsidR="00060951" w:rsidRPr="002A7395" w:rsidRDefault="00060951" w:rsidP="00724D5C">
            <w:pPr>
              <w:pStyle w:val="ListParagraph"/>
              <w:numPr>
                <w:ilvl w:val="0"/>
                <w:numId w:val="23"/>
              </w:numPr>
              <w:tabs>
                <w:tab w:val="num" w:pos="1800"/>
              </w:tabs>
              <w:spacing w:before="0" w:after="0" w:line="312" w:lineRule="auto"/>
              <w:textAlignment w:val="center"/>
              <w:rPr>
                <w:rFonts w:eastAsia="Times New Roman" w:cs="Arial"/>
                <w:color w:val="595959" w:themeColor="text1" w:themeTint="A6"/>
                <w:szCs w:val="24"/>
                <w:lang w:eastAsia="en-GB"/>
              </w:rPr>
            </w:pPr>
            <w:r w:rsidRPr="002A7395">
              <w:rPr>
                <w:rFonts w:eastAsia="Times New Roman" w:cs="Arial"/>
                <w:color w:val="595959" w:themeColor="text1" w:themeTint="A6"/>
                <w:szCs w:val="24"/>
                <w:lang w:eastAsia="en-GB"/>
              </w:rPr>
              <w:t xml:space="preserve">Intervention planning should consider possible unintended consequences. </w:t>
            </w:r>
          </w:p>
        </w:tc>
      </w:tr>
      <w:tr w:rsidR="002326B2" w:rsidRPr="002A7395" w:rsidTr="00060951">
        <w:trPr>
          <w:trHeight w:val="850"/>
        </w:trPr>
        <w:tc>
          <w:tcPr>
            <w:tcW w:w="9026" w:type="dxa"/>
          </w:tcPr>
          <w:p w:rsidR="002326B2" w:rsidRPr="002A7395" w:rsidRDefault="002326B2" w:rsidP="00060951">
            <w:pPr>
              <w:pStyle w:val="ListParagraph"/>
              <w:numPr>
                <w:ilvl w:val="0"/>
                <w:numId w:val="31"/>
              </w:numPr>
              <w:spacing w:before="0" w:after="0" w:line="312" w:lineRule="auto"/>
              <w:textAlignment w:val="center"/>
              <w:rPr>
                <w:rFonts w:eastAsia="Times New Roman" w:cs="Arial"/>
                <w:color w:val="595959" w:themeColor="text1" w:themeTint="A6"/>
                <w:szCs w:val="24"/>
                <w:lang w:eastAsia="en-GB"/>
              </w:rPr>
            </w:pPr>
            <w:r w:rsidRPr="002A7395">
              <w:rPr>
                <w:rFonts w:eastAsia="Times New Roman" w:cs="Arial"/>
                <w:color w:val="595959" w:themeColor="text1" w:themeTint="A6"/>
                <w:szCs w:val="24"/>
                <w:lang w:eastAsia="en-GB"/>
              </w:rPr>
              <w:t>Plans should consider evidence of what has worked elsewhere and how this could apply to the local context.</w:t>
            </w:r>
          </w:p>
        </w:tc>
      </w:tr>
      <w:tr w:rsidR="002326B2" w:rsidRPr="002A7395" w:rsidTr="00060951">
        <w:trPr>
          <w:trHeight w:val="850"/>
        </w:trPr>
        <w:tc>
          <w:tcPr>
            <w:tcW w:w="9026" w:type="dxa"/>
          </w:tcPr>
          <w:p w:rsidR="002326B2" w:rsidRPr="002A7395" w:rsidRDefault="002326B2" w:rsidP="00724D5C">
            <w:pPr>
              <w:pStyle w:val="ListParagraph"/>
              <w:numPr>
                <w:ilvl w:val="0"/>
                <w:numId w:val="23"/>
              </w:numPr>
              <w:tabs>
                <w:tab w:val="num" w:pos="1800"/>
              </w:tabs>
              <w:spacing w:before="0" w:after="0" w:line="312" w:lineRule="auto"/>
              <w:textAlignment w:val="center"/>
              <w:rPr>
                <w:rFonts w:eastAsia="Times New Roman" w:cs="Arial"/>
                <w:color w:val="595959" w:themeColor="text1" w:themeTint="A6"/>
                <w:szCs w:val="24"/>
                <w:lang w:eastAsia="en-GB"/>
              </w:rPr>
            </w:pPr>
            <w:r w:rsidRPr="002A7395">
              <w:rPr>
                <w:rFonts w:eastAsia="Times New Roman" w:cs="Arial"/>
                <w:color w:val="595959" w:themeColor="text1" w:themeTint="A6"/>
                <w:szCs w:val="24"/>
                <w:lang w:eastAsia="en-GB"/>
              </w:rPr>
              <w:t xml:space="preserve">Decisions about where to target place-based interventions should </w:t>
            </w:r>
            <w:r w:rsidR="00FC7C19" w:rsidRPr="002A7395">
              <w:rPr>
                <w:rFonts w:eastAsia="Times New Roman" w:cs="Arial"/>
                <w:color w:val="595959" w:themeColor="text1" w:themeTint="A6"/>
                <w:szCs w:val="24"/>
                <w:lang w:eastAsia="en-GB"/>
              </w:rPr>
              <w:t>be founded on</w:t>
            </w:r>
            <w:r w:rsidRPr="002A7395">
              <w:rPr>
                <w:rFonts w:eastAsia="Times New Roman" w:cs="Arial"/>
                <w:color w:val="595959" w:themeColor="text1" w:themeTint="A6"/>
                <w:szCs w:val="24"/>
                <w:lang w:eastAsia="en-GB"/>
              </w:rPr>
              <w:t xml:space="preserve"> what </w:t>
            </w:r>
            <w:r w:rsidR="00FC7C19" w:rsidRPr="002A7395">
              <w:rPr>
                <w:rFonts w:eastAsia="Times New Roman" w:cs="Arial"/>
                <w:color w:val="595959" w:themeColor="text1" w:themeTint="A6"/>
                <w:szCs w:val="24"/>
                <w:lang w:eastAsia="en-GB"/>
              </w:rPr>
              <w:t xml:space="preserve">local </w:t>
            </w:r>
            <w:r w:rsidRPr="002A7395">
              <w:rPr>
                <w:rFonts w:eastAsia="Times New Roman" w:cs="Arial"/>
                <w:color w:val="595959" w:themeColor="text1" w:themeTint="A6"/>
                <w:szCs w:val="24"/>
                <w:lang w:eastAsia="en-GB"/>
              </w:rPr>
              <w:t xml:space="preserve">people recognise as a real community, not imposed boundaries.  </w:t>
            </w:r>
          </w:p>
        </w:tc>
      </w:tr>
    </w:tbl>
    <w:p w:rsidR="00962EDB" w:rsidRPr="002A7395" w:rsidRDefault="00962EDB" w:rsidP="00724D5C">
      <w:pPr>
        <w:spacing w:before="0" w:after="240" w:line="312" w:lineRule="auto"/>
        <w:textAlignment w:val="center"/>
        <w:rPr>
          <w:rFonts w:eastAsia="Times New Roman" w:cs="Arial"/>
          <w:color w:val="4BACC6"/>
          <w:szCs w:val="24"/>
          <w:lang w:eastAsia="en-GB"/>
        </w:rPr>
      </w:pPr>
      <w:r w:rsidRPr="002A7395">
        <w:rPr>
          <w:rFonts w:eastAsia="Times New Roman" w:cs="Arial"/>
          <w:color w:val="4BACC6"/>
          <w:szCs w:val="24"/>
          <w:lang w:eastAsia="en-GB"/>
        </w:rPr>
        <w:t xml:space="preserve">Evidence-based plans targeted to need </w:t>
      </w:r>
      <w:r w:rsidR="00C947E1" w:rsidRPr="002A7395">
        <w:rPr>
          <w:rFonts w:eastAsia="Times New Roman" w:cs="Arial"/>
          <w:color w:val="4BACC6"/>
          <w:szCs w:val="24"/>
          <w:lang w:eastAsia="en-GB"/>
        </w:rPr>
        <w:t xml:space="preserve">and adapted to </w:t>
      </w:r>
      <w:r w:rsidR="002326B2" w:rsidRPr="002A7395">
        <w:rPr>
          <w:rFonts w:eastAsia="Times New Roman" w:cs="Arial"/>
          <w:color w:val="4BACC6"/>
          <w:szCs w:val="24"/>
          <w:lang w:eastAsia="en-GB"/>
        </w:rPr>
        <w:t xml:space="preserve">the </w:t>
      </w:r>
      <w:r w:rsidR="00C947E1" w:rsidRPr="002A7395">
        <w:rPr>
          <w:rFonts w:eastAsia="Times New Roman" w:cs="Arial"/>
          <w:color w:val="4BACC6"/>
          <w:szCs w:val="24"/>
          <w:lang w:eastAsia="en-GB"/>
        </w:rPr>
        <w:t xml:space="preserve">context </w:t>
      </w:r>
      <w:r w:rsidR="002326B2" w:rsidRPr="002A7395">
        <w:rPr>
          <w:rFonts w:eastAsia="Times New Roman" w:cs="Arial"/>
          <w:color w:val="4BACC6"/>
          <w:szCs w:val="24"/>
          <w:lang w:eastAsia="en-GB"/>
        </w:rPr>
        <w:t>of a cohesive</w:t>
      </w:r>
      <w:r w:rsidR="00060951" w:rsidRPr="002A7395">
        <w:rPr>
          <w:rFonts w:eastAsia="Times New Roman" w:cs="Arial"/>
          <w:color w:val="4BACC6"/>
          <w:szCs w:val="24"/>
          <w:lang w:eastAsia="en-GB"/>
        </w:rPr>
        <w:t xml:space="preserve"> </w:t>
      </w:r>
      <w:r w:rsidR="002326B2" w:rsidRPr="002A7395">
        <w:rPr>
          <w:rFonts w:eastAsia="Times New Roman" w:cs="Arial"/>
          <w:color w:val="4BACC6"/>
          <w:szCs w:val="24"/>
          <w:lang w:eastAsia="en-GB"/>
        </w:rPr>
        <w:t xml:space="preserve">community </w:t>
      </w:r>
      <w:r w:rsidRPr="002A7395">
        <w:rPr>
          <w:rFonts w:eastAsia="Times New Roman" w:cs="Arial"/>
          <w:color w:val="4BACC6"/>
          <w:szCs w:val="24"/>
          <w:lang w:eastAsia="en-GB"/>
        </w:rPr>
        <w:t>will maximise the chances of making a difference that is meaningful to local communities.</w:t>
      </w:r>
    </w:p>
    <w:tbl>
      <w:tblPr>
        <w:tblStyle w:val="Academytable"/>
        <w:tblW w:w="0" w:type="auto"/>
        <w:tblBorders>
          <w:bottom w:val="none" w:sz="0" w:space="0" w:color="auto"/>
        </w:tblBorders>
        <w:tblLook w:val="04A0" w:firstRow="1" w:lastRow="0" w:firstColumn="1" w:lastColumn="0" w:noHBand="0" w:noVBand="1"/>
      </w:tblPr>
      <w:tblGrid>
        <w:gridCol w:w="9026"/>
      </w:tblGrid>
      <w:tr w:rsidR="00501D7F" w:rsidRPr="002A7395" w:rsidTr="00A04392">
        <w:trPr>
          <w:cnfStyle w:val="100000000000" w:firstRow="1" w:lastRow="0" w:firstColumn="0" w:lastColumn="0" w:oddVBand="0" w:evenVBand="0" w:oddHBand="0" w:evenHBand="0" w:firstRowFirstColumn="0" w:firstRowLastColumn="0" w:lastRowFirstColumn="0" w:lastRowLastColumn="0"/>
          <w:trHeight w:val="283"/>
        </w:trPr>
        <w:tc>
          <w:tcPr>
            <w:tcW w:w="9242" w:type="dxa"/>
            <w:shd w:val="clear" w:color="auto" w:fill="365F91" w:themeFill="accent1" w:themeFillShade="BF"/>
          </w:tcPr>
          <w:p w:rsidR="00501D7F" w:rsidRPr="002A7395" w:rsidRDefault="00501D7F" w:rsidP="00500D45">
            <w:pPr>
              <w:spacing w:after="240" w:line="312" w:lineRule="auto"/>
              <w:rPr>
                <w:rFonts w:eastAsia="Times New Roman" w:cs="Arial"/>
                <w:szCs w:val="24"/>
                <w:lang w:eastAsia="en-GB"/>
              </w:rPr>
            </w:pPr>
            <w:r w:rsidRPr="002A7395">
              <w:rPr>
                <w:rFonts w:eastAsia="Times New Roman" w:cs="Arial"/>
                <w:b/>
                <w:bCs/>
                <w:szCs w:val="24"/>
                <w:lang w:eastAsia="en-GB"/>
              </w:rPr>
              <w:t>Recommendation 2: Effective partnership working is crucial to addressing health inequalities in local communities.</w:t>
            </w:r>
          </w:p>
        </w:tc>
      </w:tr>
      <w:tr w:rsidR="00501D7F" w:rsidRPr="002A7395" w:rsidTr="00A04392">
        <w:trPr>
          <w:trHeight w:val="680"/>
        </w:trPr>
        <w:tc>
          <w:tcPr>
            <w:tcW w:w="9242" w:type="dxa"/>
          </w:tcPr>
          <w:p w:rsidR="00501D7F" w:rsidRPr="002A7395" w:rsidRDefault="00501D7F" w:rsidP="00A04392">
            <w:pPr>
              <w:pStyle w:val="ListParagraph"/>
              <w:numPr>
                <w:ilvl w:val="0"/>
                <w:numId w:val="27"/>
              </w:numPr>
              <w:spacing w:line="312" w:lineRule="auto"/>
              <w:textAlignment w:val="center"/>
              <w:rPr>
                <w:rFonts w:eastAsia="Times New Roman" w:cs="Arial"/>
                <w:color w:val="595959" w:themeColor="text1" w:themeTint="A6"/>
                <w:szCs w:val="24"/>
                <w:lang w:eastAsia="en-GB"/>
              </w:rPr>
            </w:pPr>
            <w:r w:rsidRPr="002A7395">
              <w:rPr>
                <w:rFonts w:eastAsia="Times New Roman" w:cs="Arial"/>
                <w:color w:val="595959" w:themeColor="text1" w:themeTint="A6"/>
                <w:szCs w:val="24"/>
                <w:lang w:eastAsia="en-GB"/>
              </w:rPr>
              <w:t>This requires reciprocity, openness, and mutual respect of all stakeholders’ contributions.</w:t>
            </w:r>
          </w:p>
        </w:tc>
      </w:tr>
      <w:tr w:rsidR="00501D7F" w:rsidRPr="002A7395" w:rsidTr="00A04392">
        <w:trPr>
          <w:trHeight w:val="680"/>
        </w:trPr>
        <w:tc>
          <w:tcPr>
            <w:tcW w:w="9242" w:type="dxa"/>
          </w:tcPr>
          <w:p w:rsidR="00501D7F" w:rsidRPr="002A7395" w:rsidRDefault="00501D7F" w:rsidP="00A04392">
            <w:pPr>
              <w:pStyle w:val="ListParagraph"/>
              <w:numPr>
                <w:ilvl w:val="0"/>
                <w:numId w:val="27"/>
              </w:numPr>
              <w:spacing w:before="0" w:line="312" w:lineRule="auto"/>
              <w:textAlignment w:val="center"/>
              <w:rPr>
                <w:rFonts w:eastAsia="Times New Roman" w:cs="Arial"/>
                <w:color w:val="595959" w:themeColor="text1" w:themeTint="A6"/>
                <w:szCs w:val="24"/>
                <w:lang w:eastAsia="en-GB"/>
              </w:rPr>
            </w:pPr>
            <w:r w:rsidRPr="002A7395">
              <w:rPr>
                <w:rFonts w:eastAsia="Times New Roman" w:cs="Arial"/>
                <w:color w:val="595959" w:themeColor="text1" w:themeTint="A6"/>
                <w:szCs w:val="24"/>
                <w:lang w:eastAsia="en-GB"/>
              </w:rPr>
              <w:t>Sufficient time must be allowed to forge strong connections and develop high-performing teams with shared goals and ownership, especially when partners have not collaborated previously.</w:t>
            </w:r>
          </w:p>
        </w:tc>
      </w:tr>
      <w:tr w:rsidR="00501D7F" w:rsidRPr="002A7395" w:rsidTr="00A04392">
        <w:trPr>
          <w:trHeight w:val="680"/>
        </w:trPr>
        <w:tc>
          <w:tcPr>
            <w:tcW w:w="9242" w:type="dxa"/>
          </w:tcPr>
          <w:p w:rsidR="00501D7F" w:rsidRPr="002A7395" w:rsidRDefault="00501D7F" w:rsidP="00A04392">
            <w:pPr>
              <w:pStyle w:val="ListParagraph"/>
              <w:numPr>
                <w:ilvl w:val="0"/>
                <w:numId w:val="27"/>
              </w:numPr>
              <w:spacing w:before="0" w:line="312" w:lineRule="auto"/>
              <w:textAlignment w:val="center"/>
              <w:rPr>
                <w:rFonts w:eastAsia="Times New Roman" w:cs="Arial"/>
                <w:color w:val="595959" w:themeColor="text1" w:themeTint="A6"/>
                <w:szCs w:val="24"/>
                <w:lang w:eastAsia="en-GB"/>
              </w:rPr>
            </w:pPr>
            <w:r w:rsidRPr="002A7395">
              <w:rPr>
                <w:rFonts w:eastAsia="Times New Roman" w:cs="Arial"/>
                <w:color w:val="595959" w:themeColor="text1" w:themeTint="A6"/>
                <w:szCs w:val="24"/>
                <w:lang w:eastAsia="en-GB"/>
              </w:rPr>
              <w:t>Competing priorities and operational capacity of all partners should be taken into consideration to ensure realistic planning.</w:t>
            </w:r>
          </w:p>
        </w:tc>
      </w:tr>
      <w:tr w:rsidR="00501D7F" w:rsidRPr="002A7395" w:rsidTr="00A04392">
        <w:trPr>
          <w:trHeight w:val="680"/>
        </w:trPr>
        <w:tc>
          <w:tcPr>
            <w:tcW w:w="9242" w:type="dxa"/>
          </w:tcPr>
          <w:p w:rsidR="00501D7F" w:rsidRPr="002A7395" w:rsidRDefault="00501D7F" w:rsidP="00A04392">
            <w:pPr>
              <w:pStyle w:val="ListParagraph"/>
              <w:numPr>
                <w:ilvl w:val="0"/>
                <w:numId w:val="27"/>
              </w:numPr>
              <w:spacing w:before="0" w:line="312" w:lineRule="auto"/>
              <w:textAlignment w:val="center"/>
              <w:rPr>
                <w:rFonts w:eastAsia="Times New Roman" w:cs="Arial"/>
                <w:color w:val="595959" w:themeColor="text1" w:themeTint="A6"/>
                <w:szCs w:val="24"/>
                <w:lang w:eastAsia="en-GB"/>
              </w:rPr>
            </w:pPr>
            <w:r w:rsidRPr="002A7395">
              <w:rPr>
                <w:rFonts w:eastAsia="Times New Roman" w:cs="Arial"/>
                <w:color w:val="595959" w:themeColor="text1" w:themeTint="A6"/>
                <w:szCs w:val="24"/>
                <w:lang w:eastAsia="en-GB"/>
              </w:rPr>
              <w:t>Power imbalance among partners impairs partnership working. Pay attention to who holds power and work to co-create power through partnerships.</w:t>
            </w:r>
          </w:p>
        </w:tc>
      </w:tr>
      <w:tr w:rsidR="00501D7F" w:rsidRPr="002A7395" w:rsidTr="00A04392">
        <w:trPr>
          <w:trHeight w:val="680"/>
        </w:trPr>
        <w:tc>
          <w:tcPr>
            <w:tcW w:w="9242" w:type="dxa"/>
          </w:tcPr>
          <w:p w:rsidR="00501D7F" w:rsidRPr="002A7395" w:rsidRDefault="00501D7F" w:rsidP="00A04392">
            <w:pPr>
              <w:pStyle w:val="ListParagraph"/>
              <w:numPr>
                <w:ilvl w:val="0"/>
                <w:numId w:val="27"/>
              </w:numPr>
              <w:spacing w:before="0" w:line="312" w:lineRule="auto"/>
              <w:textAlignment w:val="center"/>
              <w:rPr>
                <w:rFonts w:eastAsia="Times New Roman" w:cs="Arial"/>
                <w:color w:val="595959" w:themeColor="text1" w:themeTint="A6"/>
                <w:szCs w:val="24"/>
                <w:lang w:eastAsia="en-GB"/>
              </w:rPr>
            </w:pPr>
            <w:r w:rsidRPr="002A7395">
              <w:rPr>
                <w:rFonts w:eastAsia="Times New Roman" w:cs="Arial"/>
                <w:bCs/>
                <w:color w:val="595959" w:themeColor="text1" w:themeTint="A6"/>
                <w:szCs w:val="24"/>
                <w:lang w:eastAsia="en-GB"/>
              </w:rPr>
              <w:lastRenderedPageBreak/>
              <w:t>Identify skills available and development needs, and provide adequate training or resources to fill gaps</w:t>
            </w:r>
            <w:r w:rsidRPr="002A7395">
              <w:rPr>
                <w:rFonts w:eastAsia="Times New Roman" w:cs="Arial"/>
                <w:color w:val="595959" w:themeColor="text1" w:themeTint="A6"/>
                <w:szCs w:val="24"/>
                <w:lang w:eastAsia="en-GB"/>
              </w:rPr>
              <w:t>. Facilitating connections between people and groups enables peer learning and skills development.</w:t>
            </w:r>
          </w:p>
        </w:tc>
      </w:tr>
    </w:tbl>
    <w:p w:rsidR="00501D7F" w:rsidRPr="002A7395" w:rsidRDefault="00501D7F" w:rsidP="00724D5C">
      <w:pPr>
        <w:spacing w:before="0" w:after="240" w:line="312" w:lineRule="auto"/>
        <w:textAlignment w:val="center"/>
        <w:rPr>
          <w:rFonts w:eastAsia="Times New Roman" w:cs="Arial"/>
          <w:color w:val="4BACC6"/>
          <w:szCs w:val="24"/>
          <w:lang w:eastAsia="en-GB"/>
        </w:rPr>
      </w:pPr>
      <w:r w:rsidRPr="002A7395">
        <w:rPr>
          <w:rFonts w:eastAsia="Times New Roman" w:cs="Arial"/>
          <w:color w:val="4BACC6"/>
          <w:szCs w:val="24"/>
          <w:lang w:eastAsia="en-GB"/>
        </w:rPr>
        <w:t>Effective partnership working facilitates access to target populations, reduces duplication and encourages innovation.</w:t>
      </w:r>
    </w:p>
    <w:tbl>
      <w:tblPr>
        <w:tblStyle w:val="Academytable"/>
        <w:tblW w:w="0" w:type="auto"/>
        <w:tblLook w:val="04A0" w:firstRow="1" w:lastRow="0" w:firstColumn="1" w:lastColumn="0" w:noHBand="0" w:noVBand="1"/>
      </w:tblPr>
      <w:tblGrid>
        <w:gridCol w:w="9026"/>
      </w:tblGrid>
      <w:tr w:rsidR="00C24CF5" w:rsidRPr="002A7395" w:rsidTr="00192155">
        <w:trPr>
          <w:cnfStyle w:val="100000000000" w:firstRow="1" w:lastRow="0" w:firstColumn="0" w:lastColumn="0" w:oddVBand="0" w:evenVBand="0" w:oddHBand="0" w:evenHBand="0" w:firstRowFirstColumn="0" w:firstRowLastColumn="0" w:lastRowFirstColumn="0" w:lastRowLastColumn="0"/>
          <w:trHeight w:val="850"/>
        </w:trPr>
        <w:tc>
          <w:tcPr>
            <w:tcW w:w="9026" w:type="dxa"/>
            <w:shd w:val="clear" w:color="auto" w:fill="365F91" w:themeFill="accent1" w:themeFillShade="BF"/>
          </w:tcPr>
          <w:p w:rsidR="00C24CF5" w:rsidRPr="002A7395" w:rsidRDefault="00A50075" w:rsidP="00500D45">
            <w:pPr>
              <w:spacing w:after="240" w:line="312" w:lineRule="auto"/>
              <w:textAlignment w:val="center"/>
              <w:rPr>
                <w:rFonts w:eastAsia="Times New Roman" w:cs="Arial"/>
                <w:b/>
                <w:bCs/>
                <w:szCs w:val="24"/>
                <w:lang w:eastAsia="en-GB"/>
              </w:rPr>
            </w:pPr>
            <w:r w:rsidRPr="002A7395">
              <w:rPr>
                <w:rFonts w:eastAsia="Times New Roman" w:cs="Arial"/>
                <w:b/>
                <w:bCs/>
                <w:szCs w:val="24"/>
                <w:lang w:eastAsia="en-GB"/>
              </w:rPr>
              <w:t xml:space="preserve">Recommendation </w:t>
            </w:r>
            <w:r w:rsidR="00501D7F" w:rsidRPr="002A7395">
              <w:rPr>
                <w:rFonts w:eastAsia="Times New Roman" w:cs="Arial"/>
                <w:b/>
                <w:bCs/>
                <w:szCs w:val="24"/>
                <w:lang w:eastAsia="en-GB"/>
              </w:rPr>
              <w:t>3</w:t>
            </w:r>
            <w:r w:rsidRPr="002A7395">
              <w:rPr>
                <w:rFonts w:eastAsia="Times New Roman" w:cs="Arial"/>
                <w:b/>
                <w:bCs/>
                <w:szCs w:val="24"/>
                <w:lang w:eastAsia="en-GB"/>
              </w:rPr>
              <w:t xml:space="preserve">: </w:t>
            </w:r>
            <w:r w:rsidR="00C24CF5" w:rsidRPr="002A7395">
              <w:rPr>
                <w:rFonts w:eastAsia="Times New Roman" w:cs="Arial"/>
                <w:b/>
                <w:bCs/>
                <w:szCs w:val="24"/>
                <w:lang w:eastAsia="en-GB"/>
              </w:rPr>
              <w:t>Active engagement with all stakeholders, including local residents, service users and carers, throughout the whole lifespan of any intervention is paramount to ensure sustainability.</w:t>
            </w:r>
          </w:p>
        </w:tc>
      </w:tr>
      <w:tr w:rsidR="00C24CF5" w:rsidRPr="002A7395" w:rsidTr="00192155">
        <w:trPr>
          <w:trHeight w:val="850"/>
        </w:trPr>
        <w:tc>
          <w:tcPr>
            <w:tcW w:w="9026" w:type="dxa"/>
            <w:tcBorders>
              <w:bottom w:val="nil"/>
            </w:tcBorders>
          </w:tcPr>
          <w:p w:rsidR="00C24CF5" w:rsidRPr="002A7395" w:rsidRDefault="00C24CF5" w:rsidP="00724D5C">
            <w:pPr>
              <w:pStyle w:val="ListParagraph"/>
              <w:numPr>
                <w:ilvl w:val="0"/>
                <w:numId w:val="24"/>
              </w:numPr>
              <w:spacing w:line="312" w:lineRule="auto"/>
              <w:jc w:val="both"/>
              <w:textAlignment w:val="center"/>
              <w:rPr>
                <w:rFonts w:eastAsia="Times New Roman" w:cs="Arial"/>
                <w:color w:val="595959" w:themeColor="text1" w:themeTint="A6"/>
                <w:szCs w:val="24"/>
                <w:lang w:eastAsia="en-GB"/>
              </w:rPr>
            </w:pPr>
            <w:bookmarkStart w:id="2" w:name="_Hlk211335299"/>
            <w:r w:rsidRPr="002A7395">
              <w:rPr>
                <w:rFonts w:eastAsia="Times New Roman" w:cs="Arial"/>
                <w:color w:val="595959" w:themeColor="text1" w:themeTint="A6"/>
                <w:szCs w:val="24"/>
                <w:lang w:eastAsia="en-GB"/>
              </w:rPr>
              <w:t>Engagement should occur from the pre-planning phase through planning, design, delivery, implementation and evaluation.</w:t>
            </w:r>
          </w:p>
        </w:tc>
      </w:tr>
      <w:tr w:rsidR="00C24CF5" w:rsidRPr="002A7395" w:rsidTr="00192155">
        <w:trPr>
          <w:trHeight w:val="850"/>
        </w:trPr>
        <w:tc>
          <w:tcPr>
            <w:tcW w:w="9026" w:type="dxa"/>
            <w:tcBorders>
              <w:bottom w:val="nil"/>
            </w:tcBorders>
          </w:tcPr>
          <w:p w:rsidR="00192155" w:rsidRPr="002A7395" w:rsidRDefault="00C24CF5" w:rsidP="00724D5C">
            <w:pPr>
              <w:pStyle w:val="ListParagraph"/>
              <w:numPr>
                <w:ilvl w:val="0"/>
                <w:numId w:val="24"/>
              </w:numPr>
              <w:spacing w:before="0" w:line="312" w:lineRule="auto"/>
              <w:jc w:val="both"/>
              <w:textAlignment w:val="center"/>
              <w:rPr>
                <w:rFonts w:eastAsia="Times New Roman" w:cs="Arial"/>
                <w:color w:val="595959" w:themeColor="text1" w:themeTint="A6"/>
                <w:szCs w:val="24"/>
                <w:lang w:eastAsia="en-GB"/>
              </w:rPr>
            </w:pPr>
            <w:r w:rsidRPr="002A7395">
              <w:rPr>
                <w:rFonts w:eastAsia="Times New Roman" w:cs="Arial"/>
                <w:color w:val="595959" w:themeColor="text1" w:themeTint="A6"/>
                <w:szCs w:val="24"/>
                <w:lang w:eastAsia="en-GB"/>
              </w:rPr>
              <w:t>Take time to identify all possible stakeholders.</w:t>
            </w:r>
            <w:r w:rsidR="00C947E1" w:rsidRPr="002A7395">
              <w:rPr>
                <w:rFonts w:eastAsia="Times New Roman" w:cs="Arial"/>
                <w:color w:val="595959" w:themeColor="text1" w:themeTint="A6"/>
                <w:szCs w:val="24"/>
                <w:lang w:eastAsia="en-GB"/>
              </w:rPr>
              <w:t xml:space="preserve"> </w:t>
            </w:r>
            <w:r w:rsidRPr="002A7395">
              <w:rPr>
                <w:rFonts w:eastAsia="Times New Roman" w:cs="Arial"/>
                <w:color w:val="595959" w:themeColor="text1" w:themeTint="A6"/>
                <w:szCs w:val="24"/>
                <w:lang w:eastAsia="en-GB"/>
              </w:rPr>
              <w:t>This may include primary, secondary and community healthcare, social care, local government, community and voluntary sector organisations. Community members and local residents should always be represented</w:t>
            </w:r>
            <w:r w:rsidR="00192155" w:rsidRPr="002A7395">
              <w:rPr>
                <w:rFonts w:eastAsia="Times New Roman" w:cs="Arial"/>
                <w:color w:val="595959" w:themeColor="text1" w:themeTint="A6"/>
                <w:szCs w:val="24"/>
                <w:lang w:eastAsia="en-GB"/>
              </w:rPr>
              <w:t>.</w:t>
            </w:r>
          </w:p>
        </w:tc>
      </w:tr>
      <w:tr w:rsidR="00C24CF5" w:rsidRPr="002A7395" w:rsidTr="00192155">
        <w:trPr>
          <w:trHeight w:val="850"/>
        </w:trPr>
        <w:tc>
          <w:tcPr>
            <w:tcW w:w="9026" w:type="dxa"/>
            <w:tcBorders>
              <w:top w:val="nil"/>
              <w:bottom w:val="nil"/>
            </w:tcBorders>
          </w:tcPr>
          <w:p w:rsidR="00C24CF5" w:rsidRPr="002A7395" w:rsidRDefault="00192155" w:rsidP="00724D5C">
            <w:pPr>
              <w:pStyle w:val="ListParagraph"/>
              <w:numPr>
                <w:ilvl w:val="0"/>
                <w:numId w:val="24"/>
              </w:numPr>
              <w:spacing w:before="0" w:line="312" w:lineRule="auto"/>
              <w:jc w:val="both"/>
              <w:rPr>
                <w:rFonts w:eastAsia="Times New Roman" w:cs="Arial"/>
                <w:color w:val="595959" w:themeColor="text1" w:themeTint="A6"/>
                <w:szCs w:val="24"/>
                <w:lang w:eastAsia="en-GB"/>
              </w:rPr>
            </w:pPr>
            <w:r w:rsidRPr="002A7395">
              <w:rPr>
                <w:rFonts w:eastAsia="Times New Roman" w:cs="Arial"/>
                <w:bCs/>
                <w:color w:val="595959" w:themeColor="text1" w:themeTint="A6"/>
                <w:szCs w:val="24"/>
                <w:lang w:eastAsia="en-GB"/>
              </w:rPr>
              <w:t>Proactively seek out, identify and address any challenges to stakeholder engagement early.</w:t>
            </w:r>
            <w:r w:rsidRPr="002A7395">
              <w:rPr>
                <w:rFonts w:eastAsia="Times New Roman" w:cs="Arial"/>
                <w:color w:val="595959" w:themeColor="text1" w:themeTint="A6"/>
                <w:szCs w:val="24"/>
                <w:lang w:eastAsia="en-GB"/>
              </w:rPr>
              <w:t> </w:t>
            </w:r>
          </w:p>
        </w:tc>
      </w:tr>
      <w:tr w:rsidR="00C24CF5" w:rsidRPr="002A7395" w:rsidTr="00192155">
        <w:trPr>
          <w:trHeight w:val="850"/>
        </w:trPr>
        <w:tc>
          <w:tcPr>
            <w:tcW w:w="9026" w:type="dxa"/>
            <w:tcBorders>
              <w:bottom w:val="nil"/>
            </w:tcBorders>
          </w:tcPr>
          <w:p w:rsidR="00C24CF5" w:rsidRPr="002A7395" w:rsidRDefault="00C24CF5" w:rsidP="00724D5C">
            <w:pPr>
              <w:pStyle w:val="ListParagraph"/>
              <w:numPr>
                <w:ilvl w:val="0"/>
                <w:numId w:val="24"/>
              </w:numPr>
              <w:spacing w:before="0" w:line="312" w:lineRule="auto"/>
              <w:jc w:val="both"/>
              <w:rPr>
                <w:rFonts w:eastAsia="Times New Roman" w:cs="Arial"/>
                <w:color w:val="595959" w:themeColor="text1" w:themeTint="A6"/>
                <w:szCs w:val="24"/>
                <w:lang w:eastAsia="en-GB"/>
              </w:rPr>
            </w:pPr>
            <w:r w:rsidRPr="002A7395">
              <w:rPr>
                <w:rFonts w:eastAsia="Times New Roman" w:cs="Arial"/>
                <w:bCs/>
                <w:color w:val="595959" w:themeColor="text1" w:themeTint="A6"/>
                <w:szCs w:val="24"/>
                <w:lang w:eastAsia="en-GB"/>
              </w:rPr>
              <w:t xml:space="preserve">Engagement includes recognition of needs; provision of adequate resources including </w:t>
            </w:r>
            <w:r w:rsidR="002326B2" w:rsidRPr="002A7395">
              <w:rPr>
                <w:rFonts w:eastAsia="Times New Roman" w:cs="Arial"/>
                <w:bCs/>
                <w:color w:val="595959" w:themeColor="text1" w:themeTint="A6"/>
                <w:szCs w:val="24"/>
                <w:lang w:eastAsia="en-GB"/>
              </w:rPr>
              <w:t xml:space="preserve">planned secure and sustainable </w:t>
            </w:r>
            <w:r w:rsidRPr="002A7395">
              <w:rPr>
                <w:rFonts w:eastAsia="Times New Roman" w:cs="Arial"/>
                <w:bCs/>
                <w:color w:val="595959" w:themeColor="text1" w:themeTint="A6"/>
                <w:szCs w:val="24"/>
                <w:lang w:eastAsia="en-GB"/>
              </w:rPr>
              <w:t>funding, protected time and clear communication; and</w:t>
            </w:r>
            <w:r w:rsidR="0067791C" w:rsidRPr="002A7395">
              <w:rPr>
                <w:rFonts w:eastAsia="Times New Roman" w:cs="Arial"/>
                <w:bCs/>
                <w:color w:val="595959" w:themeColor="text1" w:themeTint="A6"/>
                <w:szCs w:val="24"/>
                <w:lang w:eastAsia="en-GB"/>
              </w:rPr>
              <w:t xml:space="preserve"> commitment to </w:t>
            </w:r>
            <w:r w:rsidRPr="002A7395">
              <w:rPr>
                <w:rFonts w:eastAsia="Times New Roman" w:cs="Arial"/>
                <w:bCs/>
                <w:color w:val="595959" w:themeColor="text1" w:themeTint="A6"/>
                <w:szCs w:val="24"/>
                <w:lang w:eastAsia="en-GB"/>
              </w:rPr>
              <w:t>enabling better ways of working.</w:t>
            </w:r>
            <w:r w:rsidR="007C31A9" w:rsidRPr="002A7395">
              <w:rPr>
                <w:rFonts w:eastAsia="Times New Roman" w:cs="Arial"/>
                <w:bCs/>
                <w:color w:val="595959" w:themeColor="text1" w:themeTint="A6"/>
                <w:szCs w:val="24"/>
                <w:lang w:eastAsia="en-GB"/>
              </w:rPr>
              <w:t xml:space="preserve"> </w:t>
            </w:r>
          </w:p>
        </w:tc>
      </w:tr>
      <w:tr w:rsidR="001240D8" w:rsidRPr="002A7395" w:rsidTr="00192155">
        <w:trPr>
          <w:trHeight w:val="850"/>
        </w:trPr>
        <w:tc>
          <w:tcPr>
            <w:tcW w:w="9026" w:type="dxa"/>
            <w:tcBorders>
              <w:top w:val="nil"/>
              <w:bottom w:val="nil"/>
            </w:tcBorders>
          </w:tcPr>
          <w:p w:rsidR="001240D8" w:rsidRPr="002A7395" w:rsidRDefault="001240D8" w:rsidP="00192155">
            <w:pPr>
              <w:pStyle w:val="ListParagraph"/>
              <w:numPr>
                <w:ilvl w:val="0"/>
                <w:numId w:val="24"/>
              </w:numPr>
              <w:spacing w:before="0" w:after="0" w:line="312" w:lineRule="auto"/>
              <w:jc w:val="both"/>
              <w:rPr>
                <w:rFonts w:eastAsia="Times New Roman" w:cs="Arial"/>
                <w:bCs/>
                <w:color w:val="595959" w:themeColor="text1" w:themeTint="A6"/>
                <w:szCs w:val="24"/>
                <w:lang w:eastAsia="en-GB"/>
              </w:rPr>
            </w:pPr>
            <w:r w:rsidRPr="002A7395">
              <w:rPr>
                <w:rFonts w:eastAsia="Times New Roman" w:cs="Arial"/>
                <w:bCs/>
                <w:color w:val="595959" w:themeColor="text1" w:themeTint="A6"/>
                <w:szCs w:val="24"/>
                <w:lang w:eastAsia="en-GB"/>
              </w:rPr>
              <w:t xml:space="preserve">Decision-makers should recognise and acknowledge the contribution of stakeholders in the engagement process and communicate clearly how </w:t>
            </w:r>
            <w:r w:rsidR="00192155" w:rsidRPr="002A7395">
              <w:rPr>
                <w:rFonts w:eastAsia="Times New Roman" w:cs="Arial"/>
                <w:bCs/>
                <w:color w:val="595959" w:themeColor="text1" w:themeTint="A6"/>
                <w:szCs w:val="24"/>
                <w:lang w:eastAsia="en-GB"/>
              </w:rPr>
              <w:t>such</w:t>
            </w:r>
            <w:r w:rsidRPr="002A7395">
              <w:rPr>
                <w:rFonts w:eastAsia="Times New Roman" w:cs="Arial"/>
                <w:bCs/>
                <w:color w:val="595959" w:themeColor="text1" w:themeTint="A6"/>
                <w:szCs w:val="24"/>
                <w:lang w:eastAsia="en-GB"/>
              </w:rPr>
              <w:t xml:space="preserve"> contributions </w:t>
            </w:r>
            <w:r w:rsidR="0067791C" w:rsidRPr="002A7395">
              <w:rPr>
                <w:rFonts w:eastAsia="Times New Roman" w:cs="Arial"/>
                <w:bCs/>
                <w:color w:val="595959" w:themeColor="text1" w:themeTint="A6"/>
                <w:szCs w:val="24"/>
                <w:lang w:eastAsia="en-GB"/>
              </w:rPr>
              <w:t>make</w:t>
            </w:r>
            <w:r w:rsidRPr="002A7395">
              <w:rPr>
                <w:rFonts w:eastAsia="Times New Roman" w:cs="Arial"/>
                <w:bCs/>
                <w:color w:val="595959" w:themeColor="text1" w:themeTint="A6"/>
                <w:szCs w:val="24"/>
                <w:lang w:eastAsia="en-GB"/>
              </w:rPr>
              <w:t xml:space="preserve"> a difference.</w:t>
            </w:r>
          </w:p>
        </w:tc>
      </w:tr>
    </w:tbl>
    <w:bookmarkEnd w:id="2"/>
    <w:p w:rsidR="00962EDB" w:rsidRPr="002A7395" w:rsidRDefault="00962EDB" w:rsidP="00724D5C">
      <w:pPr>
        <w:spacing w:after="240" w:line="312" w:lineRule="auto"/>
        <w:textAlignment w:val="center"/>
        <w:rPr>
          <w:rFonts w:eastAsia="Times New Roman" w:cs="Arial"/>
          <w:color w:val="4BACC6"/>
          <w:szCs w:val="24"/>
          <w:lang w:eastAsia="en-GB"/>
        </w:rPr>
      </w:pPr>
      <w:r w:rsidRPr="002A7395">
        <w:rPr>
          <w:rFonts w:eastAsia="Times New Roman" w:cs="Arial"/>
          <w:color w:val="4BACC6"/>
          <w:szCs w:val="24"/>
          <w:lang w:eastAsia="en-GB"/>
        </w:rPr>
        <w:t>Active and continuing engagement</w:t>
      </w:r>
      <w:r w:rsidR="002326B2" w:rsidRPr="002A7395">
        <w:rPr>
          <w:rFonts w:eastAsia="Times New Roman" w:cs="Arial"/>
          <w:color w:val="4BACC6"/>
          <w:szCs w:val="24"/>
          <w:lang w:eastAsia="en-GB"/>
        </w:rPr>
        <w:t>,</w:t>
      </w:r>
      <w:r w:rsidRPr="002A7395">
        <w:rPr>
          <w:rFonts w:eastAsia="Times New Roman" w:cs="Arial"/>
          <w:color w:val="4BACC6"/>
          <w:szCs w:val="24"/>
          <w:lang w:eastAsia="en-GB"/>
        </w:rPr>
        <w:t xml:space="preserve"> </w:t>
      </w:r>
      <w:r w:rsidR="002326B2" w:rsidRPr="002A7395">
        <w:rPr>
          <w:rFonts w:eastAsia="Times New Roman" w:cs="Arial"/>
          <w:color w:val="4BACC6"/>
          <w:szCs w:val="24"/>
          <w:lang w:eastAsia="en-GB"/>
        </w:rPr>
        <w:t>with a</w:t>
      </w:r>
      <w:r w:rsidR="00FC7C19" w:rsidRPr="002A7395">
        <w:rPr>
          <w:rFonts w:eastAsia="Times New Roman" w:cs="Arial"/>
          <w:color w:val="4BACC6"/>
          <w:szCs w:val="24"/>
          <w:lang w:eastAsia="en-GB"/>
        </w:rPr>
        <w:t>ppropriate</w:t>
      </w:r>
      <w:r w:rsidR="002326B2" w:rsidRPr="002A7395">
        <w:rPr>
          <w:rFonts w:eastAsia="Times New Roman" w:cs="Arial"/>
          <w:color w:val="4BACC6"/>
          <w:szCs w:val="24"/>
          <w:lang w:eastAsia="en-GB"/>
        </w:rPr>
        <w:t xml:space="preserve"> resource provision, </w:t>
      </w:r>
      <w:r w:rsidRPr="002A7395">
        <w:rPr>
          <w:rFonts w:eastAsia="Times New Roman" w:cs="Arial"/>
          <w:color w:val="4BACC6"/>
          <w:szCs w:val="24"/>
          <w:lang w:eastAsia="en-GB"/>
        </w:rPr>
        <w:t>improves clarity of vision and expectations and fosters trust, shared purpose and understanding</w:t>
      </w:r>
      <w:r w:rsidR="002326B2" w:rsidRPr="002A7395">
        <w:rPr>
          <w:rFonts w:eastAsia="Times New Roman" w:cs="Arial"/>
          <w:color w:val="4BACC6"/>
          <w:szCs w:val="24"/>
          <w:lang w:eastAsia="en-GB"/>
        </w:rPr>
        <w:t>. This</w:t>
      </w:r>
      <w:r w:rsidRPr="002A7395">
        <w:rPr>
          <w:rFonts w:eastAsia="Times New Roman" w:cs="Arial"/>
          <w:color w:val="4BACC6"/>
          <w:szCs w:val="24"/>
          <w:lang w:eastAsia="en-GB"/>
        </w:rPr>
        <w:t xml:space="preserve"> supports the long-term capacity of communities to engage with partnership opportunities.</w:t>
      </w:r>
    </w:p>
    <w:tbl>
      <w:tblPr>
        <w:tblStyle w:val="Academytable"/>
        <w:tblW w:w="0" w:type="auto"/>
        <w:tblBorders>
          <w:bottom w:val="none" w:sz="0" w:space="0" w:color="auto"/>
        </w:tblBorders>
        <w:tblLook w:val="04A0" w:firstRow="1" w:lastRow="0" w:firstColumn="1" w:lastColumn="0" w:noHBand="0" w:noVBand="1"/>
      </w:tblPr>
      <w:tblGrid>
        <w:gridCol w:w="9026"/>
      </w:tblGrid>
      <w:tr w:rsidR="00C24CF5" w:rsidRPr="002A7395" w:rsidTr="00205E6D">
        <w:trPr>
          <w:cnfStyle w:val="100000000000" w:firstRow="1" w:lastRow="0" w:firstColumn="0" w:lastColumn="0" w:oddVBand="0" w:evenVBand="0" w:oddHBand="0" w:evenHBand="0" w:firstRowFirstColumn="0" w:firstRowLastColumn="0" w:lastRowFirstColumn="0" w:lastRowLastColumn="0"/>
          <w:trHeight w:val="283"/>
        </w:trPr>
        <w:tc>
          <w:tcPr>
            <w:tcW w:w="9242" w:type="dxa"/>
            <w:shd w:val="clear" w:color="auto" w:fill="365F91" w:themeFill="accent1" w:themeFillShade="BF"/>
          </w:tcPr>
          <w:p w:rsidR="00C24CF5" w:rsidRPr="002A7395" w:rsidRDefault="00A50075" w:rsidP="00500D45">
            <w:pPr>
              <w:spacing w:after="240" w:line="312" w:lineRule="auto"/>
              <w:textAlignment w:val="center"/>
              <w:rPr>
                <w:rFonts w:eastAsia="Times New Roman" w:cs="Arial"/>
                <w:b/>
                <w:bCs/>
                <w:szCs w:val="24"/>
                <w:lang w:eastAsia="en-GB"/>
              </w:rPr>
            </w:pPr>
            <w:r w:rsidRPr="002A7395">
              <w:rPr>
                <w:rFonts w:eastAsia="Times New Roman" w:cs="Arial"/>
                <w:b/>
                <w:bCs/>
                <w:szCs w:val="24"/>
                <w:lang w:eastAsia="en-GB"/>
              </w:rPr>
              <w:t xml:space="preserve">Recommendation </w:t>
            </w:r>
            <w:r w:rsidR="00501D7F" w:rsidRPr="002A7395">
              <w:rPr>
                <w:rFonts w:eastAsia="Times New Roman" w:cs="Arial"/>
                <w:b/>
                <w:bCs/>
                <w:szCs w:val="24"/>
                <w:lang w:eastAsia="en-GB"/>
              </w:rPr>
              <w:t>4</w:t>
            </w:r>
            <w:r w:rsidRPr="002A7395">
              <w:rPr>
                <w:rFonts w:eastAsia="Times New Roman" w:cs="Arial"/>
                <w:b/>
                <w:bCs/>
                <w:szCs w:val="24"/>
                <w:lang w:eastAsia="en-GB"/>
              </w:rPr>
              <w:t xml:space="preserve">: </w:t>
            </w:r>
            <w:r w:rsidR="00C24CF5" w:rsidRPr="002A7395">
              <w:rPr>
                <w:rFonts w:eastAsia="Times New Roman" w:cs="Arial"/>
                <w:b/>
                <w:bCs/>
                <w:szCs w:val="24"/>
                <w:lang w:eastAsia="en-GB"/>
              </w:rPr>
              <w:t>Utilise local knowledge and data; develop appropriate streamlined data-sharing arrangements between partners.</w:t>
            </w:r>
          </w:p>
        </w:tc>
      </w:tr>
      <w:tr w:rsidR="00C24CF5" w:rsidRPr="002A7395" w:rsidTr="00192155">
        <w:trPr>
          <w:trHeight w:val="850"/>
        </w:trPr>
        <w:tc>
          <w:tcPr>
            <w:tcW w:w="9242" w:type="dxa"/>
          </w:tcPr>
          <w:p w:rsidR="00C24CF5" w:rsidRPr="002A7395" w:rsidRDefault="00C24CF5" w:rsidP="00C947E1">
            <w:pPr>
              <w:pStyle w:val="ListParagraph"/>
              <w:numPr>
                <w:ilvl w:val="0"/>
                <w:numId w:val="25"/>
              </w:numPr>
              <w:spacing w:line="312" w:lineRule="auto"/>
              <w:textAlignment w:val="center"/>
              <w:rPr>
                <w:rFonts w:eastAsia="Times New Roman" w:cs="Arial"/>
                <w:color w:val="595959" w:themeColor="text1" w:themeTint="A6"/>
                <w:szCs w:val="24"/>
                <w:lang w:eastAsia="en-GB"/>
              </w:rPr>
            </w:pPr>
            <w:r w:rsidRPr="002A7395">
              <w:rPr>
                <w:rFonts w:eastAsia="Times New Roman" w:cs="Arial"/>
                <w:color w:val="595959" w:themeColor="text1" w:themeTint="A6"/>
                <w:szCs w:val="24"/>
                <w:lang w:eastAsia="en-GB"/>
              </w:rPr>
              <w:t>Consideration should be given from the start as to what data will best inform, focus and show the impact of any intervention. Clear plans should be developed for collection and presentation of data.</w:t>
            </w:r>
          </w:p>
        </w:tc>
      </w:tr>
      <w:tr w:rsidR="00C24CF5" w:rsidRPr="002A7395" w:rsidTr="00192155">
        <w:trPr>
          <w:trHeight w:val="850"/>
        </w:trPr>
        <w:tc>
          <w:tcPr>
            <w:tcW w:w="9242" w:type="dxa"/>
          </w:tcPr>
          <w:p w:rsidR="00C24CF5" w:rsidRPr="002A7395" w:rsidRDefault="00C24CF5" w:rsidP="00724D5C">
            <w:pPr>
              <w:pStyle w:val="ListParagraph"/>
              <w:numPr>
                <w:ilvl w:val="0"/>
                <w:numId w:val="25"/>
              </w:numPr>
              <w:spacing w:before="0" w:line="312" w:lineRule="auto"/>
              <w:textAlignment w:val="center"/>
              <w:rPr>
                <w:rFonts w:eastAsia="Times New Roman" w:cs="Arial"/>
                <w:color w:val="595959" w:themeColor="text1" w:themeTint="A6"/>
                <w:szCs w:val="24"/>
                <w:lang w:eastAsia="en-GB"/>
              </w:rPr>
            </w:pPr>
            <w:r w:rsidRPr="002A7395">
              <w:rPr>
                <w:rFonts w:eastAsia="Times New Roman" w:cs="Arial"/>
                <w:color w:val="595959" w:themeColor="text1" w:themeTint="A6"/>
                <w:szCs w:val="24"/>
                <w:lang w:eastAsia="en-GB"/>
              </w:rPr>
              <w:lastRenderedPageBreak/>
              <w:t>Many organisations hold data. Arrangements and processes for timely data sharing should be agreed with due attention to information governance and data protection.</w:t>
            </w:r>
          </w:p>
        </w:tc>
      </w:tr>
    </w:tbl>
    <w:p w:rsidR="00962EDB" w:rsidRPr="002A7395" w:rsidRDefault="00962EDB" w:rsidP="00CC6F9E">
      <w:pPr>
        <w:spacing w:before="0" w:after="240" w:line="312" w:lineRule="auto"/>
        <w:textAlignment w:val="center"/>
        <w:rPr>
          <w:rFonts w:eastAsia="Times New Roman" w:cs="Arial"/>
          <w:color w:val="4BACC6"/>
          <w:szCs w:val="24"/>
          <w:lang w:eastAsia="en-GB"/>
        </w:rPr>
      </w:pPr>
      <w:r w:rsidRPr="002A7395">
        <w:rPr>
          <w:rFonts w:eastAsia="Times New Roman" w:cs="Arial"/>
          <w:color w:val="4BACC6"/>
          <w:szCs w:val="24"/>
          <w:lang w:eastAsia="en-GB"/>
        </w:rPr>
        <w:t xml:space="preserve">Using and sharing local data focuses priorities on a targeted approach to local needs and enhances </w:t>
      </w:r>
      <w:r w:rsidR="0067791C" w:rsidRPr="002A7395">
        <w:rPr>
          <w:rFonts w:eastAsia="Times New Roman" w:cs="Arial"/>
          <w:color w:val="4BACC6"/>
          <w:szCs w:val="24"/>
          <w:lang w:eastAsia="en-GB"/>
        </w:rPr>
        <w:t xml:space="preserve">decision-making for </w:t>
      </w:r>
      <w:r w:rsidRPr="002A7395">
        <w:rPr>
          <w:rFonts w:eastAsia="Times New Roman" w:cs="Arial"/>
          <w:color w:val="4BACC6"/>
          <w:szCs w:val="24"/>
          <w:lang w:eastAsia="en-GB"/>
        </w:rPr>
        <w:t xml:space="preserve">shared goals. A clear plan for data collection and presentation prevents stakeholders being overwhelmed by </w:t>
      </w:r>
      <w:r w:rsidR="0067791C" w:rsidRPr="002A7395">
        <w:rPr>
          <w:rFonts w:eastAsia="Times New Roman" w:cs="Arial"/>
          <w:color w:val="4BACC6"/>
          <w:szCs w:val="24"/>
          <w:lang w:eastAsia="en-GB"/>
        </w:rPr>
        <w:t xml:space="preserve">the </w:t>
      </w:r>
      <w:r w:rsidRPr="002A7395">
        <w:rPr>
          <w:rFonts w:eastAsia="Times New Roman" w:cs="Arial"/>
          <w:color w:val="4BACC6"/>
          <w:szCs w:val="24"/>
          <w:lang w:eastAsia="en-GB"/>
        </w:rPr>
        <w:t>vast quantities of data available, and provides an effective way to demonstrate impact and share learning.</w:t>
      </w:r>
    </w:p>
    <w:tbl>
      <w:tblPr>
        <w:tblStyle w:val="Academytable"/>
        <w:tblW w:w="0" w:type="auto"/>
        <w:tblLook w:val="04A0" w:firstRow="1" w:lastRow="0" w:firstColumn="1" w:lastColumn="0" w:noHBand="0" w:noVBand="1"/>
      </w:tblPr>
      <w:tblGrid>
        <w:gridCol w:w="9026"/>
      </w:tblGrid>
      <w:tr w:rsidR="00C24CF5" w:rsidRPr="002A7395" w:rsidTr="00205E6D">
        <w:trPr>
          <w:cnfStyle w:val="100000000000" w:firstRow="1" w:lastRow="0" w:firstColumn="0" w:lastColumn="0" w:oddVBand="0" w:evenVBand="0" w:oddHBand="0" w:evenHBand="0" w:firstRowFirstColumn="0" w:firstRowLastColumn="0" w:lastRowFirstColumn="0" w:lastRowLastColumn="0"/>
        </w:trPr>
        <w:tc>
          <w:tcPr>
            <w:tcW w:w="9242" w:type="dxa"/>
            <w:shd w:val="clear" w:color="auto" w:fill="365F91" w:themeFill="accent1" w:themeFillShade="BF"/>
          </w:tcPr>
          <w:p w:rsidR="00C24CF5" w:rsidRPr="002A7395" w:rsidRDefault="00A50075" w:rsidP="00500D45">
            <w:pPr>
              <w:spacing w:after="240" w:line="312" w:lineRule="auto"/>
              <w:textAlignment w:val="center"/>
              <w:rPr>
                <w:rFonts w:eastAsia="Times New Roman" w:cs="Arial"/>
                <w:b/>
                <w:bCs/>
                <w:szCs w:val="24"/>
                <w:lang w:eastAsia="en-GB"/>
              </w:rPr>
            </w:pPr>
            <w:r w:rsidRPr="002A7395">
              <w:rPr>
                <w:rFonts w:eastAsia="Times New Roman" w:cs="Arial"/>
                <w:b/>
                <w:bCs/>
                <w:szCs w:val="24"/>
                <w:lang w:eastAsia="en-GB"/>
              </w:rPr>
              <w:t xml:space="preserve">Recommendation </w:t>
            </w:r>
            <w:r w:rsidR="00501D7F" w:rsidRPr="002A7395">
              <w:rPr>
                <w:rFonts w:eastAsia="Times New Roman" w:cs="Arial"/>
                <w:b/>
                <w:bCs/>
                <w:szCs w:val="24"/>
                <w:lang w:eastAsia="en-GB"/>
              </w:rPr>
              <w:t>5</w:t>
            </w:r>
            <w:r w:rsidRPr="002A7395">
              <w:rPr>
                <w:rFonts w:eastAsia="Times New Roman" w:cs="Arial"/>
                <w:b/>
                <w:bCs/>
                <w:szCs w:val="24"/>
                <w:lang w:eastAsia="en-GB"/>
              </w:rPr>
              <w:t xml:space="preserve">: </w:t>
            </w:r>
            <w:r w:rsidR="00C24CF5" w:rsidRPr="002A7395">
              <w:rPr>
                <w:rFonts w:eastAsia="Times New Roman" w:cs="Arial"/>
                <w:b/>
                <w:bCs/>
                <w:szCs w:val="24"/>
                <w:lang w:eastAsia="en-GB"/>
              </w:rPr>
              <w:t>Have a clear communication strategy in place from the outset and maintain regular communication with feedback loops.</w:t>
            </w:r>
          </w:p>
        </w:tc>
      </w:tr>
      <w:tr w:rsidR="00C24CF5" w:rsidRPr="002A7395" w:rsidTr="00724D5C">
        <w:trPr>
          <w:trHeight w:val="567"/>
        </w:trPr>
        <w:tc>
          <w:tcPr>
            <w:tcW w:w="9242" w:type="dxa"/>
          </w:tcPr>
          <w:p w:rsidR="00C24CF5" w:rsidRPr="002A7395" w:rsidRDefault="00C24CF5" w:rsidP="00724D5C">
            <w:pPr>
              <w:pStyle w:val="ListParagraph"/>
              <w:numPr>
                <w:ilvl w:val="0"/>
                <w:numId w:val="26"/>
              </w:numPr>
              <w:spacing w:line="312" w:lineRule="auto"/>
              <w:textAlignment w:val="center"/>
              <w:rPr>
                <w:rFonts w:eastAsia="Times New Roman" w:cs="Arial"/>
                <w:color w:val="595959" w:themeColor="text1" w:themeTint="A6"/>
                <w:szCs w:val="24"/>
                <w:lang w:eastAsia="en-GB"/>
              </w:rPr>
            </w:pPr>
            <w:r w:rsidRPr="002A7395">
              <w:rPr>
                <w:rFonts w:eastAsia="Times New Roman" w:cs="Arial"/>
                <w:color w:val="595959" w:themeColor="text1" w:themeTint="A6"/>
                <w:szCs w:val="24"/>
                <w:lang w:eastAsia="en-GB"/>
              </w:rPr>
              <w:t xml:space="preserve">Clear communication around aims, expectations and processes is vital. </w:t>
            </w:r>
          </w:p>
        </w:tc>
      </w:tr>
      <w:tr w:rsidR="00C24CF5" w:rsidRPr="002A7395" w:rsidTr="00724D5C">
        <w:trPr>
          <w:trHeight w:val="567"/>
        </w:trPr>
        <w:tc>
          <w:tcPr>
            <w:tcW w:w="9242" w:type="dxa"/>
            <w:tcBorders>
              <w:bottom w:val="nil"/>
            </w:tcBorders>
          </w:tcPr>
          <w:p w:rsidR="00C24CF5" w:rsidRPr="002A7395" w:rsidRDefault="00C24CF5" w:rsidP="00724D5C">
            <w:pPr>
              <w:pStyle w:val="ListParagraph"/>
              <w:numPr>
                <w:ilvl w:val="0"/>
                <w:numId w:val="26"/>
              </w:numPr>
              <w:spacing w:before="0" w:line="312" w:lineRule="auto"/>
              <w:textAlignment w:val="center"/>
              <w:rPr>
                <w:rFonts w:eastAsia="Times New Roman" w:cs="Arial"/>
                <w:color w:val="595959" w:themeColor="text1" w:themeTint="A6"/>
                <w:szCs w:val="24"/>
                <w:lang w:eastAsia="en-GB"/>
              </w:rPr>
            </w:pPr>
            <w:r w:rsidRPr="002A7395">
              <w:rPr>
                <w:rFonts w:eastAsia="Times New Roman" w:cs="Arial"/>
                <w:color w:val="595959" w:themeColor="text1" w:themeTint="A6"/>
                <w:szCs w:val="24"/>
                <w:lang w:eastAsia="en-GB"/>
              </w:rPr>
              <w:t xml:space="preserve">Seek regular feedback and ensure </w:t>
            </w:r>
            <w:r w:rsidR="00F76142" w:rsidRPr="002A7395">
              <w:rPr>
                <w:rFonts w:eastAsia="Times New Roman" w:cs="Arial"/>
                <w:color w:val="595959" w:themeColor="text1" w:themeTint="A6"/>
                <w:szCs w:val="24"/>
                <w:lang w:eastAsia="en-GB"/>
              </w:rPr>
              <w:t xml:space="preserve">stakeholders have </w:t>
            </w:r>
            <w:r w:rsidRPr="002A7395">
              <w:rPr>
                <w:rFonts w:eastAsia="Times New Roman" w:cs="Arial"/>
                <w:color w:val="595959" w:themeColor="text1" w:themeTint="A6"/>
                <w:szCs w:val="24"/>
                <w:lang w:eastAsia="en-GB"/>
              </w:rPr>
              <w:t>opportunities to influence decision-making.</w:t>
            </w:r>
            <w:r w:rsidR="007C31A9" w:rsidRPr="002A7395">
              <w:rPr>
                <w:rFonts w:eastAsia="Times New Roman" w:cs="Arial"/>
                <w:color w:val="595959" w:themeColor="text1" w:themeTint="A6"/>
                <w:szCs w:val="24"/>
                <w:lang w:eastAsia="en-GB"/>
              </w:rPr>
              <w:t xml:space="preserve"> </w:t>
            </w:r>
            <w:r w:rsidR="0067791C" w:rsidRPr="002A7395">
              <w:rPr>
                <w:rFonts w:eastAsia="Times New Roman" w:cs="Arial"/>
                <w:color w:val="595959" w:themeColor="text1" w:themeTint="A6"/>
                <w:szCs w:val="24"/>
                <w:lang w:eastAsia="en-GB"/>
              </w:rPr>
              <w:t>Ensure that</w:t>
            </w:r>
            <w:r w:rsidR="00F76142" w:rsidRPr="002A7395">
              <w:rPr>
                <w:rFonts w:eastAsia="Times New Roman" w:cs="Arial"/>
                <w:color w:val="595959" w:themeColor="text1" w:themeTint="A6"/>
                <w:szCs w:val="24"/>
                <w:lang w:eastAsia="en-GB"/>
              </w:rPr>
              <w:t xml:space="preserve"> any feedback received </w:t>
            </w:r>
            <w:r w:rsidR="0067791C" w:rsidRPr="002A7395">
              <w:rPr>
                <w:rFonts w:eastAsia="Times New Roman" w:cs="Arial"/>
                <w:color w:val="595959" w:themeColor="text1" w:themeTint="A6"/>
                <w:szCs w:val="24"/>
                <w:lang w:eastAsia="en-GB"/>
              </w:rPr>
              <w:t>is</w:t>
            </w:r>
            <w:r w:rsidR="00F76142" w:rsidRPr="002A7395">
              <w:rPr>
                <w:rFonts w:eastAsia="Times New Roman" w:cs="Arial"/>
                <w:color w:val="595959" w:themeColor="text1" w:themeTint="A6"/>
                <w:szCs w:val="24"/>
                <w:lang w:eastAsia="en-GB"/>
              </w:rPr>
              <w:t xml:space="preserve"> used</w:t>
            </w:r>
            <w:r w:rsidR="0067791C" w:rsidRPr="002A7395">
              <w:rPr>
                <w:rFonts w:eastAsia="Times New Roman" w:cs="Arial"/>
                <w:color w:val="595959" w:themeColor="text1" w:themeTint="A6"/>
                <w:szCs w:val="24"/>
                <w:lang w:eastAsia="en-GB"/>
              </w:rPr>
              <w:t xml:space="preserve"> in a meaningful way and communicate how </w:t>
            </w:r>
            <w:r w:rsidR="00060951" w:rsidRPr="002A7395">
              <w:rPr>
                <w:rFonts w:eastAsia="Times New Roman" w:cs="Arial"/>
                <w:color w:val="595959" w:themeColor="text1" w:themeTint="A6"/>
                <w:szCs w:val="24"/>
                <w:lang w:eastAsia="en-GB"/>
              </w:rPr>
              <w:t>stakeholder</w:t>
            </w:r>
            <w:r w:rsidR="0067791C" w:rsidRPr="002A7395">
              <w:rPr>
                <w:rFonts w:eastAsia="Times New Roman" w:cs="Arial"/>
                <w:color w:val="595959" w:themeColor="text1" w:themeTint="A6"/>
                <w:szCs w:val="24"/>
                <w:lang w:eastAsia="en-GB"/>
              </w:rPr>
              <w:t xml:space="preserve"> feedback </w:t>
            </w:r>
            <w:r w:rsidR="00C947E1" w:rsidRPr="002A7395">
              <w:rPr>
                <w:rFonts w:eastAsia="Times New Roman" w:cs="Arial"/>
                <w:color w:val="595959" w:themeColor="text1" w:themeTint="A6"/>
                <w:szCs w:val="24"/>
                <w:lang w:eastAsia="en-GB"/>
              </w:rPr>
              <w:t>makes</w:t>
            </w:r>
            <w:r w:rsidR="0067791C" w:rsidRPr="002A7395">
              <w:rPr>
                <w:rFonts w:eastAsia="Times New Roman" w:cs="Arial"/>
                <w:color w:val="595959" w:themeColor="text1" w:themeTint="A6"/>
                <w:szCs w:val="24"/>
                <w:lang w:eastAsia="en-GB"/>
              </w:rPr>
              <w:t xml:space="preserve"> a difference. </w:t>
            </w:r>
          </w:p>
        </w:tc>
      </w:tr>
      <w:tr w:rsidR="00C24CF5" w:rsidRPr="002A7395" w:rsidTr="00724D5C">
        <w:trPr>
          <w:trHeight w:val="567"/>
        </w:trPr>
        <w:tc>
          <w:tcPr>
            <w:tcW w:w="9242" w:type="dxa"/>
            <w:tcBorders>
              <w:bottom w:val="nil"/>
            </w:tcBorders>
          </w:tcPr>
          <w:p w:rsidR="00C24CF5" w:rsidRPr="002A7395" w:rsidRDefault="00C24CF5" w:rsidP="00724D5C">
            <w:pPr>
              <w:pStyle w:val="ListParagraph"/>
              <w:numPr>
                <w:ilvl w:val="0"/>
                <w:numId w:val="26"/>
              </w:numPr>
              <w:spacing w:before="0" w:line="312" w:lineRule="auto"/>
              <w:textAlignment w:val="center"/>
              <w:rPr>
                <w:rFonts w:eastAsia="Times New Roman" w:cs="Arial"/>
                <w:color w:val="595959" w:themeColor="text1" w:themeTint="A6"/>
                <w:szCs w:val="24"/>
                <w:lang w:eastAsia="en-GB"/>
              </w:rPr>
            </w:pPr>
            <w:r w:rsidRPr="002A7395">
              <w:rPr>
                <w:rFonts w:eastAsia="Times New Roman" w:cs="Arial"/>
                <w:bCs/>
                <w:color w:val="595959" w:themeColor="text1" w:themeTint="A6"/>
                <w:szCs w:val="24"/>
                <w:lang w:eastAsia="en-GB"/>
              </w:rPr>
              <w:t>Health literacy is a key consideration</w:t>
            </w:r>
            <w:r w:rsidRPr="002A7395">
              <w:rPr>
                <w:rFonts w:eastAsia="Times New Roman" w:cs="Arial"/>
                <w:color w:val="595959" w:themeColor="text1" w:themeTint="A6"/>
                <w:szCs w:val="24"/>
                <w:lang w:eastAsia="en-GB"/>
              </w:rPr>
              <w:t>. Ensure accessible, high quality information and resources are provided</w:t>
            </w:r>
            <w:r w:rsidR="0067791C" w:rsidRPr="002A7395">
              <w:rPr>
                <w:rFonts w:eastAsia="Times New Roman" w:cs="Arial"/>
                <w:color w:val="595959" w:themeColor="text1" w:themeTint="A6"/>
                <w:szCs w:val="24"/>
                <w:lang w:eastAsia="en-GB"/>
              </w:rPr>
              <w:t>,</w:t>
            </w:r>
            <w:r w:rsidRPr="002A7395">
              <w:rPr>
                <w:rFonts w:eastAsia="Times New Roman" w:cs="Arial"/>
                <w:color w:val="595959" w:themeColor="text1" w:themeTint="A6"/>
                <w:szCs w:val="24"/>
                <w:lang w:eastAsia="en-GB"/>
              </w:rPr>
              <w:t xml:space="preserve"> and consider the health literacy of targeted communities </w:t>
            </w:r>
            <w:r w:rsidR="0067791C" w:rsidRPr="002A7395">
              <w:rPr>
                <w:rFonts w:eastAsia="Times New Roman" w:cs="Arial"/>
                <w:color w:val="595959" w:themeColor="text1" w:themeTint="A6"/>
                <w:szCs w:val="24"/>
                <w:lang w:eastAsia="en-GB"/>
              </w:rPr>
              <w:t xml:space="preserve">and other stakeholders </w:t>
            </w:r>
            <w:r w:rsidRPr="002A7395">
              <w:rPr>
                <w:rFonts w:eastAsia="Times New Roman" w:cs="Arial"/>
                <w:color w:val="595959" w:themeColor="text1" w:themeTint="A6"/>
                <w:szCs w:val="24"/>
                <w:lang w:eastAsia="en-GB"/>
              </w:rPr>
              <w:t>when developing interventions.</w:t>
            </w:r>
          </w:p>
        </w:tc>
      </w:tr>
    </w:tbl>
    <w:p w:rsidR="00962EDB" w:rsidRPr="002A7395" w:rsidRDefault="00962EDB" w:rsidP="00501D7F">
      <w:pPr>
        <w:spacing w:before="0" w:after="240" w:line="312" w:lineRule="auto"/>
        <w:rPr>
          <w:rFonts w:eastAsia="Times New Roman" w:cs="Arial"/>
          <w:color w:val="4BACC6"/>
          <w:szCs w:val="24"/>
          <w:lang w:eastAsia="en-GB"/>
        </w:rPr>
      </w:pPr>
      <w:r w:rsidRPr="002A7395">
        <w:rPr>
          <w:rFonts w:eastAsia="Times New Roman" w:cs="Arial"/>
          <w:color w:val="4BACC6"/>
          <w:szCs w:val="24"/>
          <w:lang w:eastAsia="en-GB"/>
        </w:rPr>
        <w:t>Effective two-way communication with due attention to health literacy fosters trust and buy-in, encourages uptake of interventions, and expands the reach and quality of participation, ultimately increasing the likelihood of success.</w:t>
      </w:r>
    </w:p>
    <w:tbl>
      <w:tblPr>
        <w:tblStyle w:val="Academytable"/>
        <w:tblW w:w="0" w:type="auto"/>
        <w:tblLook w:val="04A0" w:firstRow="1" w:lastRow="0" w:firstColumn="1" w:lastColumn="0" w:noHBand="0" w:noVBand="1"/>
      </w:tblPr>
      <w:tblGrid>
        <w:gridCol w:w="9026"/>
      </w:tblGrid>
      <w:tr w:rsidR="00C24CF5" w:rsidRPr="002A7395" w:rsidTr="001240D8">
        <w:trPr>
          <w:cnfStyle w:val="100000000000" w:firstRow="1" w:lastRow="0" w:firstColumn="0" w:lastColumn="0" w:oddVBand="0" w:evenVBand="0" w:oddHBand="0" w:evenHBand="0" w:firstRowFirstColumn="0" w:firstRowLastColumn="0" w:lastRowFirstColumn="0" w:lastRowLastColumn="0"/>
          <w:trHeight w:val="283"/>
        </w:trPr>
        <w:tc>
          <w:tcPr>
            <w:tcW w:w="9180" w:type="dxa"/>
            <w:tcBorders>
              <w:bottom w:val="nil"/>
            </w:tcBorders>
            <w:shd w:val="clear" w:color="auto" w:fill="365F91" w:themeFill="accent1" w:themeFillShade="BF"/>
          </w:tcPr>
          <w:p w:rsidR="00C24CF5" w:rsidRPr="002A7395" w:rsidRDefault="00A50075" w:rsidP="00500D45">
            <w:pPr>
              <w:spacing w:after="240" w:line="312" w:lineRule="auto"/>
              <w:textAlignment w:val="center"/>
              <w:rPr>
                <w:rFonts w:eastAsia="Times New Roman" w:cs="Arial"/>
                <w:b/>
                <w:bCs/>
                <w:szCs w:val="24"/>
                <w:lang w:eastAsia="en-GB"/>
              </w:rPr>
            </w:pPr>
            <w:r w:rsidRPr="002A7395">
              <w:rPr>
                <w:rFonts w:eastAsia="Times New Roman" w:cs="Arial"/>
                <w:b/>
                <w:bCs/>
                <w:szCs w:val="24"/>
                <w:lang w:eastAsia="en-GB"/>
              </w:rPr>
              <w:t xml:space="preserve">Recommendation </w:t>
            </w:r>
            <w:r w:rsidR="00501D7F" w:rsidRPr="002A7395">
              <w:rPr>
                <w:rFonts w:eastAsia="Times New Roman" w:cs="Arial"/>
                <w:b/>
                <w:bCs/>
                <w:szCs w:val="24"/>
                <w:lang w:eastAsia="en-GB"/>
              </w:rPr>
              <w:t>6</w:t>
            </w:r>
            <w:r w:rsidRPr="002A7395">
              <w:rPr>
                <w:rFonts w:eastAsia="Times New Roman" w:cs="Arial"/>
                <w:b/>
                <w:bCs/>
                <w:szCs w:val="24"/>
                <w:lang w:eastAsia="en-GB"/>
              </w:rPr>
              <w:t xml:space="preserve">: </w:t>
            </w:r>
            <w:r w:rsidR="00C24CF5" w:rsidRPr="002A7395">
              <w:rPr>
                <w:rFonts w:eastAsia="Times New Roman" w:cs="Arial"/>
                <w:b/>
                <w:bCs/>
                <w:szCs w:val="24"/>
                <w:lang w:eastAsia="en-GB"/>
              </w:rPr>
              <w:t>Cross-sectoral and cross-departmental collaboration is needed to address the wider determinants of health: maximise use of existing networks, structures and planning processes.</w:t>
            </w:r>
          </w:p>
        </w:tc>
      </w:tr>
      <w:tr w:rsidR="00C24CF5" w:rsidRPr="002A7395" w:rsidTr="00724D5C">
        <w:trPr>
          <w:trHeight w:val="850"/>
        </w:trPr>
        <w:tc>
          <w:tcPr>
            <w:tcW w:w="9180" w:type="dxa"/>
            <w:tcBorders>
              <w:bottom w:val="nil"/>
            </w:tcBorders>
          </w:tcPr>
          <w:p w:rsidR="00C24CF5" w:rsidRPr="002A7395" w:rsidRDefault="00C24CF5" w:rsidP="00724D5C">
            <w:pPr>
              <w:pStyle w:val="ListParagraph"/>
              <w:numPr>
                <w:ilvl w:val="0"/>
                <w:numId w:val="28"/>
              </w:numPr>
              <w:spacing w:line="312" w:lineRule="auto"/>
              <w:textAlignment w:val="center"/>
              <w:rPr>
                <w:rFonts w:eastAsia="Times New Roman" w:cs="Arial"/>
                <w:color w:val="595959" w:themeColor="text1" w:themeTint="A6"/>
                <w:szCs w:val="24"/>
                <w:lang w:eastAsia="en-GB"/>
              </w:rPr>
            </w:pPr>
            <w:r w:rsidRPr="002A7395">
              <w:rPr>
                <w:rFonts w:eastAsia="Times New Roman" w:cs="Arial"/>
                <w:color w:val="595959" w:themeColor="text1" w:themeTint="A6"/>
                <w:szCs w:val="24"/>
                <w:lang w:eastAsia="en-GB"/>
              </w:rPr>
              <w:t xml:space="preserve">To maximise involvement across </w:t>
            </w:r>
            <w:r w:rsidR="00724D5C" w:rsidRPr="002A7395">
              <w:rPr>
                <w:rFonts w:eastAsia="Times New Roman" w:cs="Arial"/>
                <w:color w:val="595959" w:themeColor="text1" w:themeTint="A6"/>
                <w:szCs w:val="24"/>
                <w:lang w:eastAsia="en-GB"/>
              </w:rPr>
              <w:t>the health system</w:t>
            </w:r>
            <w:r w:rsidRPr="002A7395">
              <w:rPr>
                <w:rFonts w:eastAsia="Times New Roman" w:cs="Arial"/>
                <w:color w:val="595959" w:themeColor="text1" w:themeTint="A6"/>
                <w:szCs w:val="24"/>
                <w:lang w:eastAsia="en-GB"/>
              </w:rPr>
              <w:t xml:space="preserve">, </w:t>
            </w:r>
            <w:r w:rsidR="00724D5C" w:rsidRPr="002A7395">
              <w:rPr>
                <w:rFonts w:eastAsia="Times New Roman" w:cs="Arial"/>
                <w:color w:val="595959" w:themeColor="text1" w:themeTint="A6"/>
                <w:szCs w:val="24"/>
                <w:lang w:eastAsia="en-GB"/>
              </w:rPr>
              <w:t>use</w:t>
            </w:r>
            <w:r w:rsidRPr="002A7395">
              <w:rPr>
                <w:rFonts w:eastAsia="Times New Roman" w:cs="Arial"/>
                <w:color w:val="595959" w:themeColor="text1" w:themeTint="A6"/>
                <w:szCs w:val="24"/>
                <w:lang w:eastAsia="en-GB"/>
              </w:rPr>
              <w:t xml:space="preserve"> existing multidisciplinary teams, community-based partners such as Healthy Living Centres, and networks such as GP federations and community networks.</w:t>
            </w:r>
          </w:p>
        </w:tc>
      </w:tr>
      <w:tr w:rsidR="00C24CF5" w:rsidRPr="002A7395" w:rsidTr="00724D5C">
        <w:trPr>
          <w:trHeight w:val="850"/>
        </w:trPr>
        <w:tc>
          <w:tcPr>
            <w:tcW w:w="9180" w:type="dxa"/>
            <w:tcBorders>
              <w:top w:val="nil"/>
              <w:bottom w:val="nil"/>
            </w:tcBorders>
          </w:tcPr>
          <w:p w:rsidR="00C24CF5" w:rsidRPr="002A7395" w:rsidRDefault="00C24CF5" w:rsidP="00724D5C">
            <w:pPr>
              <w:pStyle w:val="ListParagraph"/>
              <w:numPr>
                <w:ilvl w:val="0"/>
                <w:numId w:val="28"/>
              </w:numPr>
              <w:spacing w:before="0" w:line="312" w:lineRule="auto"/>
              <w:textAlignment w:val="center"/>
              <w:rPr>
                <w:rFonts w:eastAsia="Times New Roman" w:cs="Arial"/>
                <w:color w:val="595959" w:themeColor="text1" w:themeTint="A6"/>
                <w:szCs w:val="24"/>
                <w:lang w:eastAsia="en-GB"/>
              </w:rPr>
            </w:pPr>
            <w:r w:rsidRPr="002A7395">
              <w:rPr>
                <w:rFonts w:eastAsia="Times New Roman" w:cs="Arial"/>
                <w:color w:val="595959" w:themeColor="text1" w:themeTint="A6"/>
                <w:szCs w:val="24"/>
                <w:lang w:eastAsia="en-GB"/>
              </w:rPr>
              <w:t xml:space="preserve">To reduce long-term health inequalities, issues such as living conditions, education, transport infrastructure, employment opportunities and factors influencing health behaviours must be considered. This will require cooperation across the Executive, </w:t>
            </w:r>
            <w:r w:rsidR="001801D4" w:rsidRPr="002A7395">
              <w:rPr>
                <w:rFonts w:eastAsia="Times New Roman" w:cs="Arial"/>
                <w:color w:val="595959" w:themeColor="text1" w:themeTint="A6"/>
                <w:szCs w:val="24"/>
                <w:lang w:eastAsia="en-GB"/>
              </w:rPr>
              <w:t xml:space="preserve">linking </w:t>
            </w:r>
            <w:r w:rsidRPr="002A7395">
              <w:rPr>
                <w:rFonts w:eastAsia="Times New Roman" w:cs="Arial"/>
                <w:color w:val="595959" w:themeColor="text1" w:themeTint="A6"/>
                <w:szCs w:val="24"/>
                <w:lang w:eastAsia="en-GB"/>
              </w:rPr>
              <w:t xml:space="preserve">Departmental programmes </w:t>
            </w:r>
            <w:r w:rsidR="001801D4" w:rsidRPr="002A7395">
              <w:rPr>
                <w:rFonts w:eastAsia="Times New Roman" w:cs="Arial"/>
                <w:color w:val="595959" w:themeColor="text1" w:themeTint="A6"/>
                <w:szCs w:val="24"/>
                <w:lang w:eastAsia="en-GB"/>
              </w:rPr>
              <w:t>such as</w:t>
            </w:r>
            <w:r w:rsidRPr="002A7395">
              <w:rPr>
                <w:rFonts w:eastAsia="Times New Roman" w:cs="Arial"/>
                <w:color w:val="595959" w:themeColor="text1" w:themeTint="A6"/>
                <w:szCs w:val="24"/>
                <w:lang w:eastAsia="en-GB"/>
              </w:rPr>
              <w:t xml:space="preserve"> DfC Test and Learn; DfC Neighbourhood Renewal; DE RAISE; DAERA Rural Support.</w:t>
            </w:r>
          </w:p>
        </w:tc>
      </w:tr>
      <w:tr w:rsidR="00060951" w:rsidRPr="002A7395" w:rsidTr="00724D5C">
        <w:trPr>
          <w:trHeight w:val="850"/>
        </w:trPr>
        <w:tc>
          <w:tcPr>
            <w:tcW w:w="9180" w:type="dxa"/>
            <w:tcBorders>
              <w:top w:val="nil"/>
              <w:bottom w:val="nil"/>
            </w:tcBorders>
          </w:tcPr>
          <w:p w:rsidR="00060951" w:rsidRPr="002A7395" w:rsidRDefault="00060951" w:rsidP="00724D5C">
            <w:pPr>
              <w:pStyle w:val="ListParagraph"/>
              <w:numPr>
                <w:ilvl w:val="0"/>
                <w:numId w:val="28"/>
              </w:numPr>
              <w:spacing w:before="0" w:line="312" w:lineRule="auto"/>
              <w:textAlignment w:val="center"/>
              <w:rPr>
                <w:rFonts w:eastAsia="Times New Roman" w:cs="Arial"/>
                <w:color w:val="595959" w:themeColor="text1" w:themeTint="A6"/>
                <w:szCs w:val="24"/>
                <w:lang w:eastAsia="en-GB"/>
              </w:rPr>
            </w:pPr>
            <w:r w:rsidRPr="002A7395">
              <w:rPr>
                <w:rFonts w:eastAsia="Times New Roman" w:cs="Arial"/>
                <w:color w:val="595959" w:themeColor="text1" w:themeTint="A6"/>
                <w:szCs w:val="24"/>
                <w:lang w:eastAsia="en-GB"/>
              </w:rPr>
              <w:lastRenderedPageBreak/>
              <w:t>In aligning with existing place-based initiatives, take care that partners, particularly in the community sector, are not over-burdened with demands from multiple overlapping programmes.</w:t>
            </w:r>
          </w:p>
        </w:tc>
      </w:tr>
      <w:tr w:rsidR="00C24CF5" w:rsidRPr="002A7395" w:rsidTr="00724D5C">
        <w:trPr>
          <w:trHeight w:val="850"/>
        </w:trPr>
        <w:tc>
          <w:tcPr>
            <w:tcW w:w="9180" w:type="dxa"/>
            <w:tcBorders>
              <w:bottom w:val="nil"/>
            </w:tcBorders>
          </w:tcPr>
          <w:p w:rsidR="00C24CF5" w:rsidRPr="002A7395" w:rsidRDefault="00C24CF5" w:rsidP="00724D5C">
            <w:pPr>
              <w:pStyle w:val="ListParagraph"/>
              <w:numPr>
                <w:ilvl w:val="0"/>
                <w:numId w:val="28"/>
              </w:numPr>
              <w:spacing w:before="0" w:after="0" w:line="312" w:lineRule="auto"/>
              <w:textAlignment w:val="center"/>
              <w:rPr>
                <w:rFonts w:eastAsia="Times New Roman" w:cs="Arial"/>
                <w:color w:val="595959" w:themeColor="text1" w:themeTint="A6"/>
                <w:szCs w:val="24"/>
                <w:lang w:eastAsia="en-GB"/>
              </w:rPr>
            </w:pPr>
            <w:r w:rsidRPr="002A7395">
              <w:rPr>
                <w:rFonts w:eastAsia="Times New Roman" w:cs="Arial"/>
                <w:color w:val="595959" w:themeColor="text1" w:themeTint="A6"/>
                <w:szCs w:val="24"/>
                <w:lang w:eastAsia="en-GB"/>
              </w:rPr>
              <w:t xml:space="preserve">Structural issues such as poverty, discrimination and power imbalance affect all of society. Consideration of health inequalities should be embedded in processes such as community planning. </w:t>
            </w:r>
          </w:p>
        </w:tc>
      </w:tr>
    </w:tbl>
    <w:p w:rsidR="00501D7F" w:rsidRPr="002A7395" w:rsidRDefault="00962EDB" w:rsidP="00724D5C">
      <w:pPr>
        <w:spacing w:after="240" w:line="312" w:lineRule="auto"/>
        <w:textAlignment w:val="center"/>
        <w:rPr>
          <w:rFonts w:eastAsia="Times New Roman" w:cs="Arial"/>
          <w:color w:val="4BACC6"/>
          <w:szCs w:val="24"/>
          <w:lang w:eastAsia="en-GB"/>
        </w:rPr>
      </w:pPr>
      <w:r w:rsidRPr="002A7395">
        <w:rPr>
          <w:rFonts w:eastAsia="Times New Roman" w:cs="Arial"/>
          <w:color w:val="4BACC6"/>
          <w:szCs w:val="24"/>
          <w:lang w:eastAsia="en-GB"/>
        </w:rPr>
        <w:t xml:space="preserve">Collaboration between sectors and across all government departments, making the best use of existing connections, is the only way to address the multifactorial wider determinants of health and have a lasting impact on health inequalities. </w:t>
      </w:r>
    </w:p>
    <w:tbl>
      <w:tblPr>
        <w:tblStyle w:val="Academytable"/>
        <w:tblW w:w="0" w:type="auto"/>
        <w:tblLook w:val="04A0" w:firstRow="1" w:lastRow="0" w:firstColumn="1" w:lastColumn="0" w:noHBand="0" w:noVBand="1"/>
      </w:tblPr>
      <w:tblGrid>
        <w:gridCol w:w="9026"/>
      </w:tblGrid>
      <w:tr w:rsidR="00C24CF5" w:rsidRPr="002A7395" w:rsidTr="001801D4">
        <w:trPr>
          <w:cnfStyle w:val="100000000000" w:firstRow="1" w:lastRow="0" w:firstColumn="0" w:lastColumn="0" w:oddVBand="0" w:evenVBand="0" w:oddHBand="0" w:evenHBand="0" w:firstRowFirstColumn="0" w:firstRowLastColumn="0" w:lastRowFirstColumn="0" w:lastRowLastColumn="0"/>
        </w:trPr>
        <w:tc>
          <w:tcPr>
            <w:tcW w:w="9242" w:type="dxa"/>
            <w:shd w:val="clear" w:color="auto" w:fill="365F91" w:themeFill="accent1" w:themeFillShade="BF"/>
          </w:tcPr>
          <w:p w:rsidR="00C24CF5" w:rsidRPr="002A7395" w:rsidRDefault="00A50075" w:rsidP="00500D45">
            <w:pPr>
              <w:spacing w:after="240" w:line="312" w:lineRule="auto"/>
              <w:rPr>
                <w:rFonts w:eastAsia="Times New Roman" w:cs="Arial"/>
                <w:szCs w:val="24"/>
                <w:lang w:eastAsia="en-GB"/>
              </w:rPr>
            </w:pPr>
            <w:r w:rsidRPr="002A7395">
              <w:rPr>
                <w:rFonts w:eastAsia="Times New Roman" w:cs="Arial"/>
                <w:b/>
                <w:bCs/>
                <w:szCs w:val="24"/>
                <w:lang w:eastAsia="en-GB"/>
              </w:rPr>
              <w:t xml:space="preserve">Recommendation 7: </w:t>
            </w:r>
            <w:r w:rsidR="00C24CF5" w:rsidRPr="002A7395">
              <w:rPr>
                <w:rFonts w:eastAsia="Times New Roman" w:cs="Arial"/>
                <w:b/>
                <w:bCs/>
                <w:szCs w:val="24"/>
                <w:lang w:eastAsia="en-GB"/>
              </w:rPr>
              <w:t>Evaluation should measure and demonstrate progress and impact in a way that is meaningful for stakeholders.</w:t>
            </w:r>
          </w:p>
        </w:tc>
      </w:tr>
      <w:tr w:rsidR="00C24CF5" w:rsidRPr="002A7395" w:rsidTr="00724D5C">
        <w:trPr>
          <w:trHeight w:val="850"/>
        </w:trPr>
        <w:tc>
          <w:tcPr>
            <w:tcW w:w="9242" w:type="dxa"/>
          </w:tcPr>
          <w:p w:rsidR="00C24CF5" w:rsidRPr="002A7395" w:rsidRDefault="00C24CF5" w:rsidP="00724D5C">
            <w:pPr>
              <w:pStyle w:val="ListParagraph"/>
              <w:numPr>
                <w:ilvl w:val="0"/>
                <w:numId w:val="29"/>
              </w:numPr>
              <w:spacing w:after="0" w:line="312" w:lineRule="auto"/>
              <w:textAlignment w:val="center"/>
              <w:rPr>
                <w:rFonts w:eastAsia="Times New Roman" w:cs="Arial"/>
                <w:color w:val="595959" w:themeColor="text1" w:themeTint="A6"/>
                <w:szCs w:val="24"/>
                <w:lang w:eastAsia="en-GB"/>
              </w:rPr>
            </w:pPr>
            <w:r w:rsidRPr="002A7395">
              <w:rPr>
                <w:rFonts w:eastAsia="Times New Roman" w:cs="Arial"/>
                <w:color w:val="595959" w:themeColor="text1" w:themeTint="A6"/>
                <w:szCs w:val="24"/>
                <w:lang w:eastAsia="en-GB"/>
              </w:rPr>
              <w:t>Evaluation should be part of the process from the outset to guide planning and assess progress as well as demonstrating eventual impact.</w:t>
            </w:r>
          </w:p>
        </w:tc>
      </w:tr>
      <w:tr w:rsidR="00C24CF5" w:rsidRPr="002A7395" w:rsidTr="00724D5C">
        <w:trPr>
          <w:trHeight w:val="850"/>
        </w:trPr>
        <w:tc>
          <w:tcPr>
            <w:tcW w:w="9242" w:type="dxa"/>
            <w:tcBorders>
              <w:bottom w:val="nil"/>
            </w:tcBorders>
          </w:tcPr>
          <w:p w:rsidR="00C24CF5" w:rsidRPr="002A7395" w:rsidRDefault="00C24CF5" w:rsidP="00724D5C">
            <w:pPr>
              <w:pStyle w:val="ListParagraph"/>
              <w:numPr>
                <w:ilvl w:val="0"/>
                <w:numId w:val="29"/>
              </w:numPr>
              <w:spacing w:after="0" w:line="312" w:lineRule="auto"/>
              <w:textAlignment w:val="center"/>
              <w:rPr>
                <w:rFonts w:eastAsia="Times New Roman" w:cs="Arial"/>
                <w:color w:val="595959" w:themeColor="text1" w:themeTint="A6"/>
                <w:szCs w:val="24"/>
                <w:lang w:eastAsia="en-GB"/>
              </w:rPr>
            </w:pPr>
            <w:r w:rsidRPr="002A7395">
              <w:rPr>
                <w:rFonts w:eastAsia="Times New Roman" w:cs="Arial"/>
                <w:color w:val="595959" w:themeColor="text1" w:themeTint="A6"/>
                <w:szCs w:val="24"/>
                <w:lang w:eastAsia="en-GB"/>
              </w:rPr>
              <w:t>Work with partners, including communities, to determine appropriate measures, methods of data collection and monitoring systems that are useful and proportionate to the size, scale and time frame of interventions.</w:t>
            </w:r>
          </w:p>
        </w:tc>
      </w:tr>
      <w:tr w:rsidR="00C24CF5" w:rsidRPr="002A7395" w:rsidTr="00724D5C">
        <w:trPr>
          <w:trHeight w:val="850"/>
        </w:trPr>
        <w:tc>
          <w:tcPr>
            <w:tcW w:w="9242" w:type="dxa"/>
            <w:tcBorders>
              <w:bottom w:val="nil"/>
            </w:tcBorders>
          </w:tcPr>
          <w:p w:rsidR="00C24CF5" w:rsidRPr="002A7395" w:rsidRDefault="00C24CF5" w:rsidP="00724D5C">
            <w:pPr>
              <w:pStyle w:val="ListParagraph"/>
              <w:numPr>
                <w:ilvl w:val="0"/>
                <w:numId w:val="29"/>
              </w:numPr>
              <w:spacing w:after="0" w:line="312" w:lineRule="auto"/>
              <w:textAlignment w:val="center"/>
              <w:rPr>
                <w:rFonts w:eastAsia="Times New Roman" w:cs="Arial"/>
                <w:color w:val="595959" w:themeColor="text1" w:themeTint="A6"/>
                <w:szCs w:val="24"/>
                <w:lang w:eastAsia="en-GB"/>
              </w:rPr>
            </w:pPr>
            <w:r w:rsidRPr="002A7395">
              <w:rPr>
                <w:rFonts w:eastAsia="Times New Roman" w:cs="Arial"/>
                <w:color w:val="595959" w:themeColor="text1" w:themeTint="A6"/>
                <w:szCs w:val="24"/>
                <w:lang w:eastAsia="en-GB"/>
              </w:rPr>
              <w:t xml:space="preserve">Provide clear guidance and training to facilitate data collection and </w:t>
            </w:r>
            <w:r w:rsidR="00FC7C19" w:rsidRPr="002A7395">
              <w:rPr>
                <w:rFonts w:eastAsia="Times New Roman" w:cs="Arial"/>
                <w:color w:val="595959" w:themeColor="text1" w:themeTint="A6"/>
                <w:szCs w:val="24"/>
                <w:lang w:eastAsia="en-GB"/>
              </w:rPr>
              <w:t xml:space="preserve">progress </w:t>
            </w:r>
            <w:r w:rsidRPr="002A7395">
              <w:rPr>
                <w:rFonts w:eastAsia="Times New Roman" w:cs="Arial"/>
                <w:color w:val="595959" w:themeColor="text1" w:themeTint="A6"/>
                <w:szCs w:val="24"/>
                <w:lang w:eastAsia="en-GB"/>
              </w:rPr>
              <w:t>monitorin</w:t>
            </w:r>
            <w:r w:rsidR="00FC7C19" w:rsidRPr="002A7395">
              <w:rPr>
                <w:rFonts w:eastAsia="Times New Roman" w:cs="Arial"/>
                <w:color w:val="595959" w:themeColor="text1" w:themeTint="A6"/>
                <w:szCs w:val="24"/>
                <w:lang w:eastAsia="en-GB"/>
              </w:rPr>
              <w:t>g</w:t>
            </w:r>
            <w:r w:rsidRPr="002A7395">
              <w:rPr>
                <w:rFonts w:eastAsia="Times New Roman" w:cs="Arial"/>
                <w:color w:val="595959" w:themeColor="text1" w:themeTint="A6"/>
                <w:szCs w:val="24"/>
                <w:lang w:eastAsia="en-GB"/>
              </w:rPr>
              <w:t>.</w:t>
            </w:r>
          </w:p>
        </w:tc>
      </w:tr>
      <w:tr w:rsidR="00C24CF5" w:rsidRPr="002A7395" w:rsidTr="00724D5C">
        <w:trPr>
          <w:trHeight w:val="454"/>
        </w:trPr>
        <w:tc>
          <w:tcPr>
            <w:tcW w:w="9242" w:type="dxa"/>
            <w:tcBorders>
              <w:top w:val="nil"/>
              <w:bottom w:val="nil"/>
            </w:tcBorders>
          </w:tcPr>
          <w:p w:rsidR="00C24CF5" w:rsidRPr="002A7395" w:rsidRDefault="00C24CF5" w:rsidP="00724D5C">
            <w:pPr>
              <w:pStyle w:val="ListParagraph"/>
              <w:numPr>
                <w:ilvl w:val="0"/>
                <w:numId w:val="29"/>
              </w:numPr>
              <w:spacing w:after="0" w:line="312" w:lineRule="auto"/>
              <w:textAlignment w:val="center"/>
              <w:rPr>
                <w:rFonts w:eastAsia="Times New Roman" w:cs="Arial"/>
                <w:color w:val="595959" w:themeColor="text1" w:themeTint="A6"/>
                <w:szCs w:val="24"/>
                <w:lang w:eastAsia="en-GB"/>
              </w:rPr>
            </w:pPr>
            <w:r w:rsidRPr="002A7395">
              <w:rPr>
                <w:rFonts w:eastAsia="Times New Roman" w:cs="Arial"/>
                <w:color w:val="595959" w:themeColor="text1" w:themeTint="A6"/>
                <w:szCs w:val="24"/>
                <w:lang w:eastAsia="en-GB"/>
              </w:rPr>
              <w:t>Include qualitative experience data in monitoring and evaluation.</w:t>
            </w:r>
          </w:p>
        </w:tc>
      </w:tr>
      <w:tr w:rsidR="00C24CF5" w:rsidRPr="002A7395" w:rsidTr="00724D5C">
        <w:trPr>
          <w:trHeight w:val="454"/>
        </w:trPr>
        <w:tc>
          <w:tcPr>
            <w:tcW w:w="9242" w:type="dxa"/>
            <w:tcBorders>
              <w:bottom w:val="nil"/>
            </w:tcBorders>
          </w:tcPr>
          <w:p w:rsidR="00C24CF5" w:rsidRPr="002A7395" w:rsidRDefault="00C24CF5" w:rsidP="00724D5C">
            <w:pPr>
              <w:pStyle w:val="ListParagraph"/>
              <w:numPr>
                <w:ilvl w:val="0"/>
                <w:numId w:val="29"/>
              </w:numPr>
              <w:spacing w:after="0" w:line="312" w:lineRule="auto"/>
              <w:textAlignment w:val="center"/>
              <w:rPr>
                <w:rFonts w:eastAsia="Times New Roman" w:cs="Arial"/>
                <w:color w:val="595959" w:themeColor="text1" w:themeTint="A6"/>
                <w:szCs w:val="24"/>
                <w:lang w:eastAsia="en-GB"/>
              </w:rPr>
            </w:pPr>
            <w:r w:rsidRPr="002A7395">
              <w:rPr>
                <w:rFonts w:eastAsia="Times New Roman" w:cs="Arial"/>
                <w:color w:val="595959" w:themeColor="text1" w:themeTint="A6"/>
                <w:szCs w:val="24"/>
                <w:lang w:eastAsia="en-GB"/>
              </w:rPr>
              <w:t>Include a dissemination plan for evaluation to share learning widely.</w:t>
            </w:r>
          </w:p>
        </w:tc>
      </w:tr>
    </w:tbl>
    <w:p w:rsidR="00962EDB" w:rsidRPr="002A7395" w:rsidRDefault="00962EDB" w:rsidP="00724D5C">
      <w:pPr>
        <w:spacing w:after="240" w:line="312" w:lineRule="auto"/>
        <w:textAlignment w:val="center"/>
        <w:rPr>
          <w:rFonts w:eastAsia="Times New Roman" w:cs="Arial"/>
          <w:color w:val="4BACC6"/>
          <w:szCs w:val="24"/>
          <w:lang w:eastAsia="en-GB"/>
        </w:rPr>
      </w:pPr>
      <w:r w:rsidRPr="002A7395">
        <w:rPr>
          <w:rFonts w:eastAsia="Times New Roman" w:cs="Arial"/>
          <w:color w:val="4BACC6"/>
          <w:szCs w:val="24"/>
          <w:lang w:eastAsia="en-GB"/>
        </w:rPr>
        <w:t xml:space="preserve">Good evaluation will demonstrate for all stakeholders what </w:t>
      </w:r>
      <w:r w:rsidR="00C24CF5" w:rsidRPr="002A7395">
        <w:rPr>
          <w:rFonts w:eastAsia="Times New Roman" w:cs="Arial"/>
          <w:color w:val="4BACC6"/>
          <w:szCs w:val="24"/>
          <w:lang w:eastAsia="en-GB"/>
        </w:rPr>
        <w:t>is and is not</w:t>
      </w:r>
      <w:r w:rsidRPr="002A7395">
        <w:rPr>
          <w:rFonts w:eastAsia="Times New Roman" w:cs="Arial"/>
          <w:color w:val="4BACC6"/>
          <w:szCs w:val="24"/>
          <w:lang w:eastAsia="en-GB"/>
        </w:rPr>
        <w:t xml:space="preserve"> working, so that limited resources can be directed towards developing the most effective interventions.</w:t>
      </w:r>
      <w:bookmarkEnd w:id="1"/>
    </w:p>
    <w:p w:rsidR="00962EDB" w:rsidRPr="002A7395" w:rsidRDefault="00962EDB" w:rsidP="00CC6F9E">
      <w:pPr>
        <w:pStyle w:val="Heading1"/>
        <w:spacing w:before="0" w:after="240" w:line="312" w:lineRule="auto"/>
        <w:rPr>
          <w:rFonts w:cs="Arial"/>
        </w:rPr>
      </w:pPr>
      <w:bookmarkStart w:id="3" w:name="_Toc210307193"/>
      <w:r w:rsidRPr="002A7395">
        <w:rPr>
          <w:rFonts w:cs="Arial"/>
        </w:rPr>
        <w:t>Summary</w:t>
      </w:r>
      <w:bookmarkEnd w:id="3"/>
    </w:p>
    <w:p w:rsidR="00962EDB" w:rsidRPr="002A7395" w:rsidRDefault="00962EDB" w:rsidP="00CC6F9E">
      <w:pPr>
        <w:spacing w:before="0" w:after="240" w:line="312" w:lineRule="auto"/>
        <w:jc w:val="both"/>
        <w:rPr>
          <w:rFonts w:cs="Arial"/>
        </w:rPr>
      </w:pPr>
      <w:r w:rsidRPr="002A7395">
        <w:rPr>
          <w:rFonts w:cs="Arial"/>
        </w:rPr>
        <w:t xml:space="preserve">Engagement with </w:t>
      </w:r>
      <w:r w:rsidR="00FC32E0" w:rsidRPr="002A7395">
        <w:rPr>
          <w:rFonts w:cs="Arial"/>
        </w:rPr>
        <w:t xml:space="preserve">Live Better </w:t>
      </w:r>
      <w:r w:rsidRPr="002A7395">
        <w:rPr>
          <w:rFonts w:cs="Arial"/>
        </w:rPr>
        <w:t xml:space="preserve">stakeholders </w:t>
      </w:r>
      <w:r w:rsidR="00FC32E0" w:rsidRPr="002A7395">
        <w:rPr>
          <w:rFonts w:cs="Arial"/>
        </w:rPr>
        <w:t xml:space="preserve">provided valuable feedback and </w:t>
      </w:r>
      <w:r w:rsidRPr="002A7395">
        <w:rPr>
          <w:rFonts w:cs="Arial"/>
        </w:rPr>
        <w:t xml:space="preserve">generated </w:t>
      </w:r>
      <w:r w:rsidR="00FC32E0" w:rsidRPr="002A7395">
        <w:rPr>
          <w:rFonts w:cs="Arial"/>
        </w:rPr>
        <w:t>wide-ranging discussions</w:t>
      </w:r>
      <w:r w:rsidRPr="002A7395">
        <w:rPr>
          <w:rFonts w:cs="Arial"/>
        </w:rPr>
        <w:t xml:space="preserve">. </w:t>
      </w:r>
      <w:r w:rsidR="002A7395">
        <w:rPr>
          <w:rFonts w:cs="Arial"/>
        </w:rPr>
        <w:t>Consistent</w:t>
      </w:r>
      <w:r w:rsidR="00FC32E0" w:rsidRPr="002A7395">
        <w:rPr>
          <w:rFonts w:cs="Arial"/>
        </w:rPr>
        <w:t xml:space="preserve"> themes arose throughout the process</w:t>
      </w:r>
      <w:r w:rsidR="00B064C2" w:rsidRPr="002A7395">
        <w:rPr>
          <w:rFonts w:cs="Arial"/>
        </w:rPr>
        <w:t xml:space="preserve"> and across all engagement platforms. These core ideas, voiced by stakeholders across all sectors and partnership organisations, </w:t>
      </w:r>
      <w:r w:rsidR="00BE3523" w:rsidRPr="002A7395">
        <w:rPr>
          <w:rFonts w:cs="Arial"/>
        </w:rPr>
        <w:t>focused on</w:t>
      </w:r>
      <w:r w:rsidR="00B064C2" w:rsidRPr="002A7395">
        <w:rPr>
          <w:rFonts w:cs="Arial"/>
        </w:rPr>
        <w:t xml:space="preserve"> </w:t>
      </w:r>
      <w:r w:rsidRPr="002A7395">
        <w:rPr>
          <w:rFonts w:cs="Arial"/>
        </w:rPr>
        <w:t xml:space="preserve">early </w:t>
      </w:r>
      <w:r w:rsidR="002A7395">
        <w:rPr>
          <w:rFonts w:cs="Arial"/>
        </w:rPr>
        <w:t xml:space="preserve">and continuing </w:t>
      </w:r>
      <w:r w:rsidRPr="002A7395">
        <w:rPr>
          <w:rFonts w:cs="Arial"/>
        </w:rPr>
        <w:t xml:space="preserve">engagement, </w:t>
      </w:r>
      <w:r w:rsidR="00501D7F" w:rsidRPr="002A7395">
        <w:rPr>
          <w:rFonts w:cs="Arial"/>
        </w:rPr>
        <w:t xml:space="preserve">realistic </w:t>
      </w:r>
      <w:r w:rsidRPr="002A7395">
        <w:rPr>
          <w:rFonts w:cs="Arial"/>
        </w:rPr>
        <w:t>time</w:t>
      </w:r>
      <w:r w:rsidR="00501D7F" w:rsidRPr="002A7395">
        <w:rPr>
          <w:rFonts w:cs="Arial"/>
        </w:rPr>
        <w:t xml:space="preserve"> </w:t>
      </w:r>
      <w:r w:rsidRPr="002A7395">
        <w:rPr>
          <w:rFonts w:cs="Arial"/>
        </w:rPr>
        <w:t>frames, communication</w:t>
      </w:r>
      <w:r w:rsidR="002A7395">
        <w:rPr>
          <w:rFonts w:cs="Arial"/>
        </w:rPr>
        <w:t>,</w:t>
      </w:r>
      <w:r w:rsidRPr="002A7395">
        <w:rPr>
          <w:rFonts w:cs="Arial"/>
        </w:rPr>
        <w:t xml:space="preserve"> and sustainability</w:t>
      </w:r>
      <w:r w:rsidR="00FC7C19" w:rsidRPr="002A7395">
        <w:rPr>
          <w:rFonts w:cs="Arial"/>
        </w:rPr>
        <w:t>, including funding</w:t>
      </w:r>
      <w:r w:rsidRPr="002A7395">
        <w:rPr>
          <w:rFonts w:cs="Arial"/>
        </w:rPr>
        <w:t>.</w:t>
      </w:r>
    </w:p>
    <w:p w:rsidR="00F2780A" w:rsidRPr="00500D45" w:rsidRDefault="00BE3523" w:rsidP="00FC7C19">
      <w:pPr>
        <w:spacing w:before="0" w:after="240" w:line="312" w:lineRule="auto"/>
        <w:jc w:val="both"/>
        <w:rPr>
          <w:rFonts w:cs="Arial"/>
        </w:rPr>
      </w:pPr>
      <w:r w:rsidRPr="002A7395">
        <w:rPr>
          <w:rFonts w:cs="Arial"/>
        </w:rPr>
        <w:t>It is hoped that learning from Live Better will be used to inform future work to address health inequalities, providing particular insights for partnership working and place-based approaches</w:t>
      </w:r>
      <w:r w:rsidR="00500D45" w:rsidRPr="002A7395">
        <w:rPr>
          <w:rFonts w:cs="Arial"/>
        </w:rPr>
        <w:t xml:space="preserve"> anchored in local communities</w:t>
      </w:r>
      <w:r w:rsidRPr="002A7395">
        <w:rPr>
          <w:rFonts w:cs="Arial"/>
        </w:rPr>
        <w:t>.</w:t>
      </w:r>
    </w:p>
    <w:sectPr w:rsidR="00F2780A" w:rsidRPr="00500D45" w:rsidSect="00A50075">
      <w:footerReference w:type="defaul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B65" w:rsidRDefault="002B6B65" w:rsidP="00962EDB">
      <w:pPr>
        <w:spacing w:before="0" w:after="0" w:line="240" w:lineRule="auto"/>
      </w:pPr>
      <w:r>
        <w:separator/>
      </w:r>
    </w:p>
  </w:endnote>
  <w:endnote w:type="continuationSeparator" w:id="0">
    <w:p w:rsidR="002B6B65" w:rsidRDefault="002B6B65" w:rsidP="00962E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503918"/>
      <w:docPartObj>
        <w:docPartGallery w:val="Page Numbers (Bottom of Page)"/>
        <w:docPartUnique/>
      </w:docPartObj>
    </w:sdtPr>
    <w:sdtEndPr>
      <w:rPr>
        <w:noProof/>
      </w:rPr>
    </w:sdtEndPr>
    <w:sdtContent>
      <w:p w:rsidR="00962EDB" w:rsidRDefault="00962E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63697" w:rsidRDefault="00A85AE5">
    <w:pPr>
      <w:pStyle w:val="Footer"/>
      <w:tabs>
        <w:tab w:val="right" w:pos="82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B65" w:rsidRDefault="002B6B65" w:rsidP="00962EDB">
      <w:pPr>
        <w:spacing w:before="0" w:after="0" w:line="240" w:lineRule="auto"/>
      </w:pPr>
      <w:r>
        <w:separator/>
      </w:r>
    </w:p>
  </w:footnote>
  <w:footnote w:type="continuationSeparator" w:id="0">
    <w:p w:rsidR="002B6B65" w:rsidRDefault="002B6B65" w:rsidP="00962ED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6CC8"/>
    <w:multiLevelType w:val="hybridMultilevel"/>
    <w:tmpl w:val="EFD67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A4D4E"/>
    <w:multiLevelType w:val="multilevel"/>
    <w:tmpl w:val="EC7048C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 w15:restartNumberingAfterBreak="0">
    <w:nsid w:val="0CC77200"/>
    <w:multiLevelType w:val="hybridMultilevel"/>
    <w:tmpl w:val="7070E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20C47"/>
    <w:multiLevelType w:val="hybridMultilevel"/>
    <w:tmpl w:val="62BA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685429"/>
    <w:multiLevelType w:val="hybridMultilevel"/>
    <w:tmpl w:val="12D8594C"/>
    <w:lvl w:ilvl="0" w:tplc="439283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AD0E00"/>
    <w:multiLevelType w:val="hybridMultilevel"/>
    <w:tmpl w:val="7BA04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11124C"/>
    <w:multiLevelType w:val="hybridMultilevel"/>
    <w:tmpl w:val="20AE1D8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88146F"/>
    <w:multiLevelType w:val="hybridMultilevel"/>
    <w:tmpl w:val="4C86325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B20075"/>
    <w:multiLevelType w:val="multilevel"/>
    <w:tmpl w:val="4B1E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26631B"/>
    <w:multiLevelType w:val="multilevel"/>
    <w:tmpl w:val="A202C722"/>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Symbol" w:hAnsi="Symbol" w:hint="default"/>
        <w:sz w:val="20"/>
      </w:rPr>
    </w:lvl>
    <w:lvl w:ilvl="3" w:tentative="1">
      <w:start w:val="1"/>
      <w:numFmt w:val="bullet"/>
      <w:lvlText w:val=""/>
      <w:lvlJc w:val="left"/>
      <w:pPr>
        <w:tabs>
          <w:tab w:val="num" w:pos="5040"/>
        </w:tabs>
        <w:ind w:left="5040" w:hanging="360"/>
      </w:pPr>
      <w:rPr>
        <w:rFonts w:ascii="Symbol" w:hAnsi="Symbol" w:hint="default"/>
        <w:sz w:val="20"/>
      </w:rPr>
    </w:lvl>
    <w:lvl w:ilvl="4" w:tentative="1">
      <w:start w:val="1"/>
      <w:numFmt w:val="bullet"/>
      <w:lvlText w:val=""/>
      <w:lvlJc w:val="left"/>
      <w:pPr>
        <w:tabs>
          <w:tab w:val="num" w:pos="5760"/>
        </w:tabs>
        <w:ind w:left="5760" w:hanging="360"/>
      </w:pPr>
      <w:rPr>
        <w:rFonts w:ascii="Symbol" w:hAnsi="Symbol" w:hint="default"/>
        <w:sz w:val="20"/>
      </w:rPr>
    </w:lvl>
    <w:lvl w:ilvl="5" w:tentative="1">
      <w:start w:val="1"/>
      <w:numFmt w:val="bullet"/>
      <w:lvlText w:val=""/>
      <w:lvlJc w:val="left"/>
      <w:pPr>
        <w:tabs>
          <w:tab w:val="num" w:pos="6480"/>
        </w:tabs>
        <w:ind w:left="6480" w:hanging="360"/>
      </w:pPr>
      <w:rPr>
        <w:rFonts w:ascii="Symbol" w:hAnsi="Symbol" w:hint="default"/>
        <w:sz w:val="20"/>
      </w:rPr>
    </w:lvl>
    <w:lvl w:ilvl="6" w:tentative="1">
      <w:start w:val="1"/>
      <w:numFmt w:val="bullet"/>
      <w:lvlText w:val=""/>
      <w:lvlJc w:val="left"/>
      <w:pPr>
        <w:tabs>
          <w:tab w:val="num" w:pos="7200"/>
        </w:tabs>
        <w:ind w:left="7200" w:hanging="360"/>
      </w:pPr>
      <w:rPr>
        <w:rFonts w:ascii="Symbol" w:hAnsi="Symbol" w:hint="default"/>
        <w:sz w:val="20"/>
      </w:rPr>
    </w:lvl>
    <w:lvl w:ilvl="7" w:tentative="1">
      <w:start w:val="1"/>
      <w:numFmt w:val="bullet"/>
      <w:lvlText w:val=""/>
      <w:lvlJc w:val="left"/>
      <w:pPr>
        <w:tabs>
          <w:tab w:val="num" w:pos="7920"/>
        </w:tabs>
        <w:ind w:left="7920" w:hanging="360"/>
      </w:pPr>
      <w:rPr>
        <w:rFonts w:ascii="Symbol" w:hAnsi="Symbol" w:hint="default"/>
        <w:sz w:val="20"/>
      </w:rPr>
    </w:lvl>
    <w:lvl w:ilvl="8" w:tentative="1">
      <w:start w:val="1"/>
      <w:numFmt w:val="bullet"/>
      <w:lvlText w:val=""/>
      <w:lvlJc w:val="left"/>
      <w:pPr>
        <w:tabs>
          <w:tab w:val="num" w:pos="8640"/>
        </w:tabs>
        <w:ind w:left="8640" w:hanging="360"/>
      </w:pPr>
      <w:rPr>
        <w:rFonts w:ascii="Symbol" w:hAnsi="Symbol" w:hint="default"/>
        <w:sz w:val="20"/>
      </w:rPr>
    </w:lvl>
  </w:abstractNum>
  <w:abstractNum w:abstractNumId="10" w15:restartNumberingAfterBreak="0">
    <w:nsid w:val="3B660705"/>
    <w:multiLevelType w:val="hybridMultilevel"/>
    <w:tmpl w:val="F492486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640F94"/>
    <w:multiLevelType w:val="hybridMultilevel"/>
    <w:tmpl w:val="B9AA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2C2F95"/>
    <w:multiLevelType w:val="hybridMultilevel"/>
    <w:tmpl w:val="E670E2F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426630"/>
    <w:multiLevelType w:val="hybridMultilevel"/>
    <w:tmpl w:val="020CB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D479F6"/>
    <w:multiLevelType w:val="hybridMultilevel"/>
    <w:tmpl w:val="93B04AE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A326CF"/>
    <w:multiLevelType w:val="hybridMultilevel"/>
    <w:tmpl w:val="1A9C3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697422"/>
    <w:multiLevelType w:val="hybridMultilevel"/>
    <w:tmpl w:val="3A5C3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E3296E"/>
    <w:multiLevelType w:val="hybridMultilevel"/>
    <w:tmpl w:val="41EC8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C57CA5"/>
    <w:multiLevelType w:val="multilevel"/>
    <w:tmpl w:val="3C5A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C81F85"/>
    <w:multiLevelType w:val="hybridMultilevel"/>
    <w:tmpl w:val="BDE0A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6292317"/>
    <w:multiLevelType w:val="hybridMultilevel"/>
    <w:tmpl w:val="F504419E"/>
    <w:lvl w:ilvl="0" w:tplc="56BCD102">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013348"/>
    <w:multiLevelType w:val="hybridMultilevel"/>
    <w:tmpl w:val="1AEE7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81370"/>
    <w:multiLevelType w:val="hybridMultilevel"/>
    <w:tmpl w:val="E2C2D30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5D6FC7"/>
    <w:multiLevelType w:val="multilevel"/>
    <w:tmpl w:val="F2EE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565769"/>
    <w:multiLevelType w:val="hybridMultilevel"/>
    <w:tmpl w:val="4A04DDD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251131"/>
    <w:multiLevelType w:val="hybridMultilevel"/>
    <w:tmpl w:val="5C3E3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5A6043"/>
    <w:multiLevelType w:val="multilevel"/>
    <w:tmpl w:val="8910C9FE"/>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27" w15:restartNumberingAfterBreak="0">
    <w:nsid w:val="6CB35437"/>
    <w:multiLevelType w:val="hybridMultilevel"/>
    <w:tmpl w:val="FD88C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06194B"/>
    <w:multiLevelType w:val="hybridMultilevel"/>
    <w:tmpl w:val="0B062C1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095198"/>
    <w:multiLevelType w:val="hybridMultilevel"/>
    <w:tmpl w:val="D3C6E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6654A9"/>
    <w:multiLevelType w:val="hybridMultilevel"/>
    <w:tmpl w:val="5D7847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1"/>
  </w:num>
  <w:num w:numId="4">
    <w:abstractNumId w:val="16"/>
  </w:num>
  <w:num w:numId="5">
    <w:abstractNumId w:val="29"/>
  </w:num>
  <w:num w:numId="6">
    <w:abstractNumId w:val="3"/>
  </w:num>
  <w:num w:numId="7">
    <w:abstractNumId w:val="13"/>
  </w:num>
  <w:num w:numId="8">
    <w:abstractNumId w:val="20"/>
  </w:num>
  <w:num w:numId="9">
    <w:abstractNumId w:val="1"/>
  </w:num>
  <w:num w:numId="10">
    <w:abstractNumId w:val="9"/>
  </w:num>
  <w:num w:numId="11">
    <w:abstractNumId w:val="26"/>
  </w:num>
  <w:num w:numId="12">
    <w:abstractNumId w:val="23"/>
  </w:num>
  <w:num w:numId="13">
    <w:abstractNumId w:val="18"/>
  </w:num>
  <w:num w:numId="14">
    <w:abstractNumId w:val="8"/>
  </w:num>
  <w:num w:numId="15">
    <w:abstractNumId w:val="2"/>
  </w:num>
  <w:num w:numId="16">
    <w:abstractNumId w:val="4"/>
  </w:num>
  <w:num w:numId="17">
    <w:abstractNumId w:val="15"/>
  </w:num>
  <w:num w:numId="18">
    <w:abstractNumId w:val="0"/>
  </w:num>
  <w:num w:numId="19">
    <w:abstractNumId w:val="17"/>
  </w:num>
  <w:num w:numId="20">
    <w:abstractNumId w:val="25"/>
  </w:num>
  <w:num w:numId="21">
    <w:abstractNumId w:val="27"/>
  </w:num>
  <w:num w:numId="22">
    <w:abstractNumId w:val="11"/>
  </w:num>
  <w:num w:numId="23">
    <w:abstractNumId w:val="24"/>
  </w:num>
  <w:num w:numId="24">
    <w:abstractNumId w:val="14"/>
  </w:num>
  <w:num w:numId="25">
    <w:abstractNumId w:val="12"/>
  </w:num>
  <w:num w:numId="26">
    <w:abstractNumId w:val="7"/>
  </w:num>
  <w:num w:numId="27">
    <w:abstractNumId w:val="6"/>
  </w:num>
  <w:num w:numId="28">
    <w:abstractNumId w:val="10"/>
  </w:num>
  <w:num w:numId="29">
    <w:abstractNumId w:val="28"/>
  </w:num>
  <w:num w:numId="30">
    <w:abstractNumId w:val="3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cryptProviderType="rsaAES" w:cryptAlgorithmClass="hash" w:cryptAlgorithmType="typeAny" w:cryptAlgorithmSid="14" w:cryptSpinCount="100000" w:hash="OQ0sNlX18fXK+rDgf+z06PuiS56R04vn6n4LX39jn3AQsQHt4IvDNML5Liksn1JpBfgkHsNJahjvWDMh1JdSDQ==" w:salt="lBdDhKsvE+EyyucNWMHJSA=="/>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EDB"/>
    <w:rsid w:val="00014D6A"/>
    <w:rsid w:val="00060951"/>
    <w:rsid w:val="000647A3"/>
    <w:rsid w:val="000C0A49"/>
    <w:rsid w:val="001240D8"/>
    <w:rsid w:val="001801D4"/>
    <w:rsid w:val="00192155"/>
    <w:rsid w:val="00205E6D"/>
    <w:rsid w:val="002326B2"/>
    <w:rsid w:val="0026594E"/>
    <w:rsid w:val="002A7395"/>
    <w:rsid w:val="002B6B65"/>
    <w:rsid w:val="003250B3"/>
    <w:rsid w:val="00331E6E"/>
    <w:rsid w:val="00343DA5"/>
    <w:rsid w:val="00372B3B"/>
    <w:rsid w:val="003832DA"/>
    <w:rsid w:val="0039761B"/>
    <w:rsid w:val="003E3788"/>
    <w:rsid w:val="00462956"/>
    <w:rsid w:val="00492AEA"/>
    <w:rsid w:val="00497401"/>
    <w:rsid w:val="00500D45"/>
    <w:rsid w:val="00501D7F"/>
    <w:rsid w:val="005D764B"/>
    <w:rsid w:val="0067791C"/>
    <w:rsid w:val="006C6408"/>
    <w:rsid w:val="006D4FB7"/>
    <w:rsid w:val="00705E65"/>
    <w:rsid w:val="00724D5C"/>
    <w:rsid w:val="007C31A9"/>
    <w:rsid w:val="007D1B7B"/>
    <w:rsid w:val="00962EDB"/>
    <w:rsid w:val="009828A9"/>
    <w:rsid w:val="00A50075"/>
    <w:rsid w:val="00A64C1E"/>
    <w:rsid w:val="00A85AE5"/>
    <w:rsid w:val="00A917CC"/>
    <w:rsid w:val="00B064C2"/>
    <w:rsid w:val="00BE3523"/>
    <w:rsid w:val="00BE3F97"/>
    <w:rsid w:val="00C24CF5"/>
    <w:rsid w:val="00C325E4"/>
    <w:rsid w:val="00C947E1"/>
    <w:rsid w:val="00CC6F9E"/>
    <w:rsid w:val="00E3284E"/>
    <w:rsid w:val="00E4254B"/>
    <w:rsid w:val="00E51587"/>
    <w:rsid w:val="00E804AF"/>
    <w:rsid w:val="00E8159D"/>
    <w:rsid w:val="00EB2957"/>
    <w:rsid w:val="00F76142"/>
    <w:rsid w:val="00FB0707"/>
    <w:rsid w:val="00FC32E0"/>
    <w:rsid w:val="00FC7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BA86D4-11B2-4A80-9F00-68B0A3C7A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2EDB"/>
    <w:pPr>
      <w:spacing w:before="120" w:after="120"/>
    </w:pPr>
    <w:rPr>
      <w:rFonts w:ascii="Arial" w:eastAsiaTheme="minorEastAsia" w:hAnsi="Arial"/>
      <w:sz w:val="24"/>
      <w:szCs w:val="20"/>
    </w:rPr>
  </w:style>
  <w:style w:type="paragraph" w:styleId="Heading1">
    <w:name w:val="heading 1"/>
    <w:basedOn w:val="Normal"/>
    <w:next w:val="Normal"/>
    <w:link w:val="Heading1Char"/>
    <w:uiPriority w:val="9"/>
    <w:qFormat/>
    <w:rsid w:val="00962ED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cademytable">
    <w:name w:val="Academy table"/>
    <w:basedOn w:val="TableNormal"/>
    <w:uiPriority w:val="99"/>
    <w:rsid w:val="00205E6D"/>
    <w:pPr>
      <w:spacing w:after="0" w:line="240" w:lineRule="auto"/>
    </w:pPr>
    <w:rPr>
      <w:rFonts w:ascii="Franklin Gothic Medium Cond" w:hAnsi="Franklin Gothic Medium Cond"/>
      <w:color w:val="FFFFFF" w:themeColor="background1"/>
    </w:rPr>
    <w:tblPr>
      <w:tblBorders>
        <w:bottom w:val="single" w:sz="4" w:space="0" w:color="808080" w:themeColor="background1" w:themeShade="80"/>
      </w:tblBorders>
    </w:tblPr>
    <w:tcPr>
      <w:shd w:val="clear" w:color="auto" w:fill="FFFFFF" w:themeFill="background1"/>
    </w:tcPr>
    <w:tblStylePr w:type="firstRow">
      <w:tblPr/>
      <w:tcPr>
        <w:shd w:val="clear" w:color="auto" w:fill="D9D9D9" w:themeFill="background1" w:themeFillShade="D9"/>
      </w:tcPr>
    </w:tblStylePr>
  </w:style>
  <w:style w:type="table" w:customStyle="1" w:styleId="Lisastable">
    <w:name w:val="Lisa's table"/>
    <w:basedOn w:val="TableNormal"/>
    <w:uiPriority w:val="99"/>
    <w:rsid w:val="003250B3"/>
    <w:pPr>
      <w:spacing w:after="0" w:line="240" w:lineRule="auto"/>
    </w:pPr>
    <w:tblPr/>
    <w:tblStylePr w:type="firstRow">
      <w:tblPr/>
      <w:tcPr>
        <w:tcBorders>
          <w:top w:val="nil"/>
          <w:bottom w:val="nil"/>
        </w:tcBorders>
      </w:tcPr>
    </w:tblStylePr>
  </w:style>
  <w:style w:type="character" w:customStyle="1" w:styleId="Heading1Char">
    <w:name w:val="Heading 1 Char"/>
    <w:basedOn w:val="DefaultParagraphFont"/>
    <w:link w:val="Heading1"/>
    <w:uiPriority w:val="9"/>
    <w:rsid w:val="00962EDB"/>
    <w:rPr>
      <w:rFonts w:ascii="Arial" w:eastAsiaTheme="minorEastAsia" w:hAnsi="Arial"/>
      <w:b/>
      <w:bCs/>
      <w:caps/>
      <w:color w:val="FFFFFF" w:themeColor="background1"/>
      <w:spacing w:val="15"/>
      <w:sz w:val="24"/>
      <w:shd w:val="clear" w:color="auto" w:fill="4F81BD" w:themeFill="accent1"/>
    </w:rPr>
  </w:style>
  <w:style w:type="paragraph" w:styleId="ListParagraph">
    <w:name w:val="List Paragraph"/>
    <w:basedOn w:val="Normal"/>
    <w:link w:val="ListParagraphChar"/>
    <w:uiPriority w:val="34"/>
    <w:qFormat/>
    <w:rsid w:val="00962EDB"/>
    <w:pPr>
      <w:ind w:left="720"/>
      <w:contextualSpacing/>
    </w:pPr>
  </w:style>
  <w:style w:type="paragraph" w:styleId="Footer">
    <w:name w:val="footer"/>
    <w:basedOn w:val="Normal"/>
    <w:link w:val="FooterChar"/>
    <w:uiPriority w:val="99"/>
    <w:unhideWhenUsed/>
    <w:rsid w:val="00962ED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62EDB"/>
    <w:rPr>
      <w:rFonts w:ascii="Arial" w:eastAsiaTheme="minorEastAsia" w:hAnsi="Arial"/>
      <w:sz w:val="24"/>
      <w:szCs w:val="20"/>
    </w:rPr>
  </w:style>
  <w:style w:type="character" w:customStyle="1" w:styleId="ListParagraphChar">
    <w:name w:val="List Paragraph Char"/>
    <w:basedOn w:val="DefaultParagraphFont"/>
    <w:link w:val="ListParagraph"/>
    <w:uiPriority w:val="34"/>
    <w:locked/>
    <w:rsid w:val="00962EDB"/>
    <w:rPr>
      <w:rFonts w:ascii="Arial" w:eastAsiaTheme="minorEastAsia" w:hAnsi="Arial"/>
      <w:sz w:val="24"/>
      <w:szCs w:val="20"/>
    </w:rPr>
  </w:style>
  <w:style w:type="character" w:styleId="CommentReference">
    <w:name w:val="annotation reference"/>
    <w:basedOn w:val="DefaultParagraphFont"/>
    <w:uiPriority w:val="99"/>
    <w:semiHidden/>
    <w:unhideWhenUsed/>
    <w:rsid w:val="00962EDB"/>
    <w:rPr>
      <w:sz w:val="16"/>
      <w:szCs w:val="16"/>
    </w:rPr>
  </w:style>
  <w:style w:type="paragraph" w:styleId="CommentText">
    <w:name w:val="annotation text"/>
    <w:basedOn w:val="Normal"/>
    <w:link w:val="CommentTextChar"/>
    <w:uiPriority w:val="99"/>
    <w:semiHidden/>
    <w:unhideWhenUsed/>
    <w:rsid w:val="00962EDB"/>
    <w:pPr>
      <w:spacing w:line="240" w:lineRule="auto"/>
    </w:pPr>
    <w:rPr>
      <w:sz w:val="20"/>
    </w:rPr>
  </w:style>
  <w:style w:type="character" w:customStyle="1" w:styleId="CommentTextChar">
    <w:name w:val="Comment Text Char"/>
    <w:basedOn w:val="DefaultParagraphFont"/>
    <w:link w:val="CommentText"/>
    <w:uiPriority w:val="99"/>
    <w:semiHidden/>
    <w:rsid w:val="00962EDB"/>
    <w:rPr>
      <w:rFonts w:ascii="Arial" w:eastAsiaTheme="minorEastAsia" w:hAnsi="Arial"/>
      <w:sz w:val="20"/>
      <w:szCs w:val="20"/>
    </w:rPr>
  </w:style>
  <w:style w:type="paragraph" w:styleId="BalloonText">
    <w:name w:val="Balloon Text"/>
    <w:basedOn w:val="Normal"/>
    <w:link w:val="BalloonTextChar"/>
    <w:uiPriority w:val="99"/>
    <w:semiHidden/>
    <w:unhideWhenUsed/>
    <w:rsid w:val="00962ED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EDB"/>
    <w:rPr>
      <w:rFonts w:ascii="Segoe UI" w:eastAsiaTheme="minorEastAsia" w:hAnsi="Segoe UI" w:cs="Segoe UI"/>
      <w:sz w:val="18"/>
      <w:szCs w:val="18"/>
    </w:rPr>
  </w:style>
  <w:style w:type="paragraph" w:styleId="Header">
    <w:name w:val="header"/>
    <w:basedOn w:val="Normal"/>
    <w:link w:val="HeaderChar"/>
    <w:uiPriority w:val="99"/>
    <w:unhideWhenUsed/>
    <w:rsid w:val="00962ED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62EDB"/>
    <w:rPr>
      <w:rFonts w:ascii="Arial" w:eastAsiaTheme="minorEastAsia" w:hAnsi="Arial"/>
      <w:sz w:val="24"/>
      <w:szCs w:val="20"/>
    </w:rPr>
  </w:style>
  <w:style w:type="table" w:styleId="TableGrid">
    <w:name w:val="Table Grid"/>
    <w:basedOn w:val="TableNormal"/>
    <w:uiPriority w:val="59"/>
    <w:rsid w:val="00C24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C32E0"/>
    <w:rPr>
      <w:b/>
      <w:bCs/>
    </w:rPr>
  </w:style>
  <w:style w:type="character" w:customStyle="1" w:styleId="CommentSubjectChar">
    <w:name w:val="Comment Subject Char"/>
    <w:basedOn w:val="CommentTextChar"/>
    <w:link w:val="CommentSubject"/>
    <w:uiPriority w:val="99"/>
    <w:semiHidden/>
    <w:rsid w:val="00FC32E0"/>
    <w:rPr>
      <w:rFonts w:ascii="Arial" w:eastAsiaTheme="minorEastAsia" w:hAnsi="Arial"/>
      <w:b/>
      <w:bCs/>
      <w:sz w:val="20"/>
      <w:szCs w:val="20"/>
    </w:rPr>
  </w:style>
  <w:style w:type="paragraph" w:styleId="NoSpacing">
    <w:name w:val="No Spacing"/>
    <w:link w:val="NoSpacingChar"/>
    <w:uiPriority w:val="1"/>
    <w:qFormat/>
    <w:rsid w:val="00A5007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50075"/>
    <w:rPr>
      <w:rFonts w:eastAsiaTheme="minorEastAsia"/>
      <w:lang w:val="en-US"/>
    </w:rPr>
  </w:style>
  <w:style w:type="paragraph" w:styleId="NormalWeb">
    <w:name w:val="Normal (Web)"/>
    <w:basedOn w:val="Normal"/>
    <w:uiPriority w:val="99"/>
    <w:semiHidden/>
    <w:unhideWhenUsed/>
    <w:rsid w:val="00FB070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741869">
      <w:bodyDiv w:val="1"/>
      <w:marLeft w:val="0"/>
      <w:marRight w:val="0"/>
      <w:marTop w:val="0"/>
      <w:marBottom w:val="0"/>
      <w:divBdr>
        <w:top w:val="none" w:sz="0" w:space="0" w:color="auto"/>
        <w:left w:val="none" w:sz="0" w:space="0" w:color="auto"/>
        <w:bottom w:val="none" w:sz="0" w:space="0" w:color="auto"/>
        <w:right w:val="none" w:sz="0" w:space="0" w:color="auto"/>
      </w:divBdr>
    </w:div>
    <w:div w:id="1152718540">
      <w:bodyDiv w:val="1"/>
      <w:marLeft w:val="0"/>
      <w:marRight w:val="0"/>
      <w:marTop w:val="0"/>
      <w:marBottom w:val="0"/>
      <w:divBdr>
        <w:top w:val="none" w:sz="0" w:space="0" w:color="auto"/>
        <w:left w:val="none" w:sz="0" w:space="0" w:color="auto"/>
        <w:bottom w:val="none" w:sz="0" w:space="0" w:color="auto"/>
        <w:right w:val="none" w:sz="0" w:space="0" w:color="auto"/>
      </w:divBdr>
    </w:div>
    <w:div w:id="1461220029">
      <w:bodyDiv w:val="1"/>
      <w:marLeft w:val="0"/>
      <w:marRight w:val="0"/>
      <w:marTop w:val="0"/>
      <w:marBottom w:val="0"/>
      <w:divBdr>
        <w:top w:val="none" w:sz="0" w:space="0" w:color="auto"/>
        <w:left w:val="none" w:sz="0" w:space="0" w:color="auto"/>
        <w:bottom w:val="none" w:sz="0" w:space="0" w:color="auto"/>
        <w:right w:val="none" w:sz="0" w:space="0" w:color="auto"/>
      </w:divBdr>
    </w:div>
    <w:div w:id="1797528417">
      <w:bodyDiv w:val="1"/>
      <w:marLeft w:val="0"/>
      <w:marRight w:val="0"/>
      <w:marTop w:val="0"/>
      <w:marBottom w:val="0"/>
      <w:divBdr>
        <w:top w:val="none" w:sz="0" w:space="0" w:color="auto"/>
        <w:left w:val="none" w:sz="0" w:space="0" w:color="auto"/>
        <w:bottom w:val="none" w:sz="0" w:space="0" w:color="auto"/>
        <w:right w:val="none" w:sz="0" w:space="0" w:color="auto"/>
      </w:divBdr>
    </w:div>
    <w:div w:id="209651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313E7042-F809-47B7-AECA-44B01C8D5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1846</Words>
  <Characters>10523</Characters>
  <Application>Microsoft Office Word</Application>
  <DocSecurity>6</DocSecurity>
  <Lines>87</Lines>
  <Paragraphs>24</Paragraphs>
  <ScaleCrop>false</ScaleCrop>
  <HeadingPairs>
    <vt:vector size="2" baseType="variant">
      <vt:variant>
        <vt:lpstr>Title</vt:lpstr>
      </vt:variant>
      <vt:variant>
        <vt:i4>1</vt:i4>
      </vt:variant>
    </vt:vector>
  </HeadingPairs>
  <TitlesOfParts>
    <vt:vector size="1" baseType="lpstr">
      <vt:lpstr>Live better: recommendations</vt:lpstr>
    </vt:vector>
  </TitlesOfParts>
  <Company>HCNI</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 better: recommendations</dc:title>
  <dc:subject>october 2025</dc:subject>
  <dc:creator>Lisa Cromey</dc:creator>
  <cp:keywords/>
  <dc:description/>
  <cp:lastModifiedBy>Lisa Cromey</cp:lastModifiedBy>
  <cp:revision>2</cp:revision>
  <dcterms:created xsi:type="dcterms:W3CDTF">2025-10-31T15:56:00Z</dcterms:created>
  <dcterms:modified xsi:type="dcterms:W3CDTF">2025-10-31T15:56:00Z</dcterms:modified>
</cp:coreProperties>
</file>